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uto"/>
        <w:jc w:val="center"/>
        <w:rPr>
          <w:b/>
          <w:bCs/>
          <w:sz w:val="44"/>
          <w:szCs w:val="52"/>
        </w:rPr>
      </w:pPr>
    </w:p>
    <w:p>
      <w:pPr>
        <w:spacing w:line="600" w:lineRule="auto"/>
        <w:jc w:val="center"/>
        <w:rPr>
          <w:b/>
          <w:bCs/>
          <w:sz w:val="44"/>
          <w:szCs w:val="52"/>
        </w:rPr>
      </w:pPr>
      <w:r>
        <w:rPr>
          <w:rFonts w:hint="eastAsia"/>
          <w:b/>
          <w:bCs/>
          <w:sz w:val="44"/>
          <w:szCs w:val="52"/>
        </w:rPr>
        <w:t>2018年武陟县社会保障类扶贫资金项目分配情况公告公示</w:t>
      </w:r>
    </w:p>
    <w:p>
      <w:pPr>
        <w:spacing w:beforeLines="100" w:line="360" w:lineRule="auto"/>
        <w:ind w:firstLine="560" w:firstLineChars="200"/>
        <w:rPr>
          <w:sz w:val="28"/>
          <w:szCs w:val="28"/>
        </w:rPr>
      </w:pPr>
      <w:r>
        <w:rPr>
          <w:rFonts w:hint="eastAsia" w:ascii="宋体" w:hAnsi="宋体" w:eastAsia="宋体" w:cs="宋体"/>
          <w:sz w:val="28"/>
          <w:szCs w:val="28"/>
        </w:rPr>
        <w:t>2018年上级下达武陟县中央及省市级财政专项8361.65万元。其中：扶贫资金3570.7万元，</w:t>
      </w:r>
      <w:r>
        <w:rPr>
          <w:rFonts w:hint="eastAsia"/>
          <w:sz w:val="28"/>
          <w:szCs w:val="28"/>
        </w:rPr>
        <w:t>现将资金分配情况公示如下：</w:t>
      </w:r>
    </w:p>
    <w:p>
      <w:pPr>
        <w:numPr>
          <w:ilvl w:val="0"/>
          <w:numId w:val="1"/>
        </w:numPr>
        <w:rPr>
          <w:b/>
          <w:bCs/>
          <w:sz w:val="32"/>
          <w:szCs w:val="32"/>
        </w:rPr>
      </w:pPr>
      <w:r>
        <w:rPr>
          <w:rFonts w:hint="eastAsia"/>
          <w:b/>
          <w:bCs/>
          <w:sz w:val="32"/>
          <w:szCs w:val="32"/>
        </w:rPr>
        <w:t>资金来源</w:t>
      </w:r>
    </w:p>
    <w:p>
      <w:pPr>
        <w:rPr>
          <w:sz w:val="28"/>
          <w:szCs w:val="28"/>
        </w:rPr>
      </w:pPr>
      <w:r>
        <w:rPr>
          <w:rFonts w:hint="eastAsia"/>
          <w:sz w:val="28"/>
          <w:szCs w:val="28"/>
        </w:rPr>
        <w:t>（一）2018年中央财政专项资金6394.87万元。其中：扶贫资金2213.4万元。</w:t>
      </w:r>
    </w:p>
    <w:p>
      <w:pPr>
        <w:ind w:firstLine="560" w:firstLineChars="200"/>
        <w:rPr>
          <w:sz w:val="28"/>
          <w:szCs w:val="28"/>
        </w:rPr>
      </w:pPr>
      <w:r>
        <w:rPr>
          <w:rFonts w:hint="eastAsia"/>
          <w:sz w:val="28"/>
          <w:szCs w:val="28"/>
        </w:rPr>
        <w:t xml:space="preserve"> 1、《 焦作市财政局  焦作市人力资源和社会保障局关于提前下达2018年就业补助资金的通知》（焦财预【2017】545号）下达就业补助资金846万元。其中：用于贫困户资金支出169.4万元。</w:t>
      </w:r>
    </w:p>
    <w:p>
      <w:pPr>
        <w:ind w:firstLine="700" w:firstLineChars="250"/>
        <w:rPr>
          <w:sz w:val="28"/>
          <w:szCs w:val="28"/>
        </w:rPr>
      </w:pPr>
      <w:r>
        <w:rPr>
          <w:rFonts w:hint="eastAsia"/>
          <w:sz w:val="28"/>
          <w:szCs w:val="28"/>
        </w:rPr>
        <w:t>2、《 焦作市财政局  关于提前下达2018年残疾人事业发展补助资金的通知》（焦财预【2017】561号）下达残疾人事业发展补助资金40.362万元。其中：用于扶贫的残疾人实用技术培训资金支出3.23万元；用于扶贫的残疾人无障碍设施建设资金支出3.85万元。</w:t>
      </w:r>
    </w:p>
    <w:p>
      <w:pPr>
        <w:ind w:firstLine="700" w:firstLineChars="250"/>
        <w:rPr>
          <w:sz w:val="28"/>
          <w:szCs w:val="28"/>
        </w:rPr>
      </w:pPr>
      <w:r>
        <w:rPr>
          <w:rFonts w:hint="eastAsia"/>
          <w:sz w:val="28"/>
          <w:szCs w:val="28"/>
        </w:rPr>
        <w:t xml:space="preserve">3、《 焦作市财政局  焦作市残疾人联合会关于下达2018年中央专项彩票公益金（支持残疾人事业发展补助资金的通知）（焦财预【2018】316号）下达中央专项彩票公益金（支持残疾人事业发展补助资金4.505万元。其中：用于扶贫的残疾人无障碍设施建设资金支出2.1万元。                                 </w:t>
      </w:r>
    </w:p>
    <w:p>
      <w:pPr>
        <w:ind w:firstLine="700" w:firstLineChars="250"/>
        <w:rPr>
          <w:sz w:val="28"/>
          <w:szCs w:val="28"/>
        </w:rPr>
      </w:pPr>
      <w:r>
        <w:rPr>
          <w:rFonts w:hint="eastAsia"/>
          <w:sz w:val="28"/>
          <w:szCs w:val="28"/>
        </w:rPr>
        <w:t xml:space="preserve">4、《 焦作市财政局  焦作市残疾人联合会关于下达2018年残疾人事业发展补助资金的通知》（焦财预【2018】315号）下达残疾人事业发展补助资金50.723万元。其中：用于扶贫的重度残疾人集中托养资金支出13.5万元。                                 </w:t>
      </w:r>
    </w:p>
    <w:p>
      <w:pPr>
        <w:ind w:firstLine="700" w:firstLineChars="250"/>
        <w:rPr>
          <w:sz w:val="28"/>
          <w:szCs w:val="28"/>
        </w:rPr>
      </w:pPr>
      <w:r>
        <w:rPr>
          <w:rFonts w:hint="eastAsia"/>
          <w:sz w:val="28"/>
          <w:szCs w:val="28"/>
        </w:rPr>
        <w:t>5、《 焦作市财政局  焦作市民政局关于提前下达2018年困难群众基本生活救助补助资金的通知》（焦财预【2017】499号）下达困难群众救助补助资金3298.48万元。其中：用于</w:t>
      </w:r>
      <w:r>
        <w:rPr>
          <w:rFonts w:hint="eastAsia" w:ascii="宋体" w:hAnsi="宋体" w:eastAsia="宋体" w:cs="宋体"/>
          <w:sz w:val="28"/>
          <w:szCs w:val="28"/>
        </w:rPr>
        <w:t>建档立卡贫困户</w:t>
      </w:r>
      <w:r>
        <w:rPr>
          <w:rFonts w:hint="eastAsia"/>
          <w:sz w:val="28"/>
          <w:szCs w:val="28"/>
        </w:rPr>
        <w:t>的资金支出347.9万元。</w:t>
      </w:r>
    </w:p>
    <w:p>
      <w:pPr>
        <w:ind w:firstLine="700" w:firstLineChars="250"/>
        <w:rPr>
          <w:sz w:val="28"/>
          <w:szCs w:val="28"/>
        </w:rPr>
      </w:pPr>
      <w:r>
        <w:rPr>
          <w:rFonts w:hint="eastAsia"/>
          <w:sz w:val="28"/>
          <w:szCs w:val="28"/>
        </w:rPr>
        <w:t>6、《 焦作市财政局  关于预拨2018年中央财政城乡居民基本医疗保险补助资金（第二批）的通知》（焦财预【2018】94号下达城乡居民基本医疗保险补助资金1800万元。其中：用于贫困城乡居民的医保资金支出1336.84万元。</w:t>
      </w:r>
    </w:p>
    <w:p>
      <w:pPr>
        <w:ind w:firstLine="700" w:firstLineChars="250"/>
        <w:rPr>
          <w:sz w:val="28"/>
          <w:szCs w:val="28"/>
        </w:rPr>
      </w:pPr>
      <w:r>
        <w:rPr>
          <w:rFonts w:hint="eastAsia"/>
          <w:sz w:val="28"/>
          <w:szCs w:val="28"/>
        </w:rPr>
        <w:t xml:space="preserve">7、《 焦作市财政局  焦作市民政局关于提前下达2018年城乡医疗救助助补资金的通知》（焦财预【2017】500号下达城乡居民基本医疗保险补助资金354.8万元。其中：用于贫困城乡医保资金支出336.58万元。 </w:t>
      </w:r>
    </w:p>
    <w:p>
      <w:pPr>
        <w:ind w:left="420" w:leftChars="200" w:firstLine="280" w:firstLineChars="100"/>
        <w:jc w:val="left"/>
        <w:rPr>
          <w:sz w:val="28"/>
          <w:szCs w:val="28"/>
        </w:rPr>
      </w:pPr>
      <w:r>
        <w:rPr>
          <w:rFonts w:hint="eastAsia"/>
          <w:sz w:val="28"/>
          <w:szCs w:val="28"/>
        </w:rPr>
        <w:t>（二）2018年省财政专项资金1466.6万元。其中：扶贫资899.12万元。                                                  1、《 焦作市财政局  焦作市人力资源和社会保障局关于下达2018年就业补助资金的通知》（焦财预【2018】318号）下达就业资260万元。                                                          2、《 焦作市财政局  焦作市民政局关于提前下达2018年困难群众基本生活救助补助资金的通知》（焦财预【2018】342号）下达困难群众救助补助资金1206.6万元。其中：用于</w:t>
      </w:r>
      <w:r>
        <w:rPr>
          <w:rFonts w:hint="eastAsia" w:ascii="宋体" w:hAnsi="宋体" w:eastAsia="宋体" w:cs="宋体"/>
          <w:sz w:val="28"/>
          <w:szCs w:val="28"/>
        </w:rPr>
        <w:t>建档立卡贫困低保</w:t>
      </w:r>
      <w:r>
        <w:rPr>
          <w:rFonts w:hint="eastAsia"/>
          <w:sz w:val="28"/>
          <w:szCs w:val="28"/>
        </w:rPr>
        <w:t xml:space="preserve">资金支出458.1万元；用于临时救助资金支出18.58万元；用于流浪乞讨的资金支出30万元；用于特困供养的资金支出42.38万元；用于孤儿基本生活资金支出90.06万元。 </w:t>
      </w:r>
    </w:p>
    <w:p>
      <w:pPr>
        <w:rPr>
          <w:rFonts w:hint="eastAsia"/>
          <w:sz w:val="28"/>
          <w:szCs w:val="28"/>
        </w:rPr>
      </w:pPr>
      <w:r>
        <w:rPr>
          <w:rFonts w:hint="eastAsia"/>
          <w:sz w:val="28"/>
          <w:szCs w:val="28"/>
        </w:rPr>
        <w:t>（三）2018年市级财政专项扶贫资金500.18万元。其中：扶贫资金458.18万元。</w:t>
      </w:r>
    </w:p>
    <w:p>
      <w:pPr>
        <w:rPr>
          <w:rFonts w:hint="eastAsia"/>
          <w:sz w:val="28"/>
          <w:szCs w:val="28"/>
        </w:rPr>
      </w:pPr>
      <w:r>
        <w:rPr>
          <w:rFonts w:hint="eastAsia"/>
          <w:sz w:val="28"/>
          <w:szCs w:val="28"/>
        </w:rPr>
        <w:t xml:space="preserve">     1、《 焦作市财政局  焦作市人力资源和社会保障局  焦作市扶贫开发办公室关于拨付2018年医疗保险精准扶贫托底救助市级财政补助资金的通知》（焦财预【2018】35号）下达医疗保险精准扶贫托底救助资金62.18万元。 </w:t>
      </w:r>
    </w:p>
    <w:p>
      <w:pPr>
        <w:ind w:firstLine="700" w:firstLineChars="250"/>
        <w:rPr>
          <w:sz w:val="28"/>
          <w:szCs w:val="28"/>
        </w:rPr>
      </w:pPr>
      <w:r>
        <w:rPr>
          <w:rFonts w:hint="eastAsia"/>
          <w:sz w:val="28"/>
          <w:szCs w:val="28"/>
        </w:rPr>
        <w:t xml:space="preserve">2、《 焦作市财政局  焦作市人力资源和社会保障局  关于预拨2018年城乡居民社会养老保险市级财政补助资金的通知》（焦财预【2018】4号）下达城乡居民社会养老保险救助资金438万元。其中：用于贫困城乡居民社会养老保险资金支出396万元。                                                    </w:t>
      </w:r>
    </w:p>
    <w:p>
      <w:pPr>
        <w:numPr>
          <w:ilvl w:val="0"/>
          <w:numId w:val="2"/>
        </w:numPr>
        <w:rPr>
          <w:b/>
          <w:bCs/>
          <w:sz w:val="32"/>
          <w:szCs w:val="32"/>
        </w:rPr>
      </w:pPr>
      <w:r>
        <w:rPr>
          <w:rFonts w:hint="eastAsia"/>
          <w:b/>
          <w:bCs/>
          <w:sz w:val="32"/>
          <w:szCs w:val="32"/>
        </w:rPr>
        <w:t>分配原则</w:t>
      </w:r>
    </w:p>
    <w:p>
      <w:pPr>
        <w:ind w:firstLine="560" w:firstLineChars="200"/>
        <w:rPr>
          <w:sz w:val="28"/>
          <w:szCs w:val="28"/>
        </w:rPr>
      </w:pPr>
      <w:r>
        <w:rPr>
          <w:rFonts w:hint="eastAsia"/>
          <w:sz w:val="28"/>
          <w:szCs w:val="28"/>
        </w:rPr>
        <w:t>按照脱贫攻坚目标要求，经县脱贫攻坚领导小组研究确定，结合项目准备情况，按照以下原则分配资金:</w:t>
      </w:r>
    </w:p>
    <w:p>
      <w:pPr>
        <w:ind w:firstLine="560" w:firstLineChars="200"/>
        <w:rPr>
          <w:sz w:val="28"/>
          <w:szCs w:val="28"/>
        </w:rPr>
      </w:pPr>
      <w:r>
        <w:rPr>
          <w:rFonts w:hint="eastAsia"/>
          <w:sz w:val="28"/>
          <w:szCs w:val="28"/>
        </w:rPr>
        <w:t>一是以各乡镇贫困人口数占全县总贫困人口数的比例为原则，统筹资金平衡。</w:t>
      </w:r>
    </w:p>
    <w:p>
      <w:pPr>
        <w:ind w:firstLine="560" w:firstLineChars="200"/>
        <w:rPr>
          <w:sz w:val="28"/>
          <w:szCs w:val="28"/>
        </w:rPr>
      </w:pPr>
      <w:r>
        <w:rPr>
          <w:rFonts w:hint="eastAsia"/>
          <w:sz w:val="28"/>
          <w:szCs w:val="28"/>
        </w:rPr>
        <w:t>二是根据《焦作市财政专项扶贫资金管理办法》、《武陟县财政专项扶贫资金管理办法》要求，由扶贫等主管部门按照2018年各乡镇办事处减贫目标、建档立卡贫困村数量、贫困发生率、人均财力和绩效等因素进行测算分配。</w:t>
      </w:r>
    </w:p>
    <w:p>
      <w:pPr>
        <w:numPr>
          <w:ilvl w:val="0"/>
          <w:numId w:val="2"/>
        </w:numPr>
        <w:rPr>
          <w:b/>
          <w:bCs/>
          <w:sz w:val="32"/>
          <w:szCs w:val="32"/>
        </w:rPr>
      </w:pPr>
      <w:r>
        <w:rPr>
          <w:rFonts w:hint="eastAsia"/>
          <w:b/>
          <w:bCs/>
          <w:sz w:val="32"/>
          <w:szCs w:val="32"/>
        </w:rPr>
        <w:t>资金分配情况</w:t>
      </w:r>
    </w:p>
    <w:p>
      <w:pPr>
        <w:spacing w:line="540" w:lineRule="exact"/>
        <w:ind w:firstLine="321" w:firstLineChars="100"/>
        <w:rPr>
          <w:rFonts w:ascii="宋体" w:hAnsi="宋体" w:eastAsia="宋体" w:cs="宋体"/>
          <w:b/>
          <w:bCs/>
          <w:sz w:val="28"/>
          <w:szCs w:val="28"/>
        </w:rPr>
      </w:pPr>
      <w:r>
        <w:rPr>
          <w:rFonts w:hint="eastAsia" w:ascii="楷体" w:hAnsi="楷体" w:eastAsia="楷体" w:cs="楷体"/>
          <w:b/>
          <w:bCs/>
          <w:sz w:val="32"/>
          <w:szCs w:val="32"/>
        </w:rPr>
        <w:t>（</w:t>
      </w:r>
      <w:r>
        <w:rPr>
          <w:rFonts w:hint="eastAsia" w:ascii="宋体" w:hAnsi="宋体" w:eastAsia="宋体" w:cs="宋体"/>
          <w:b/>
          <w:bCs/>
          <w:sz w:val="28"/>
          <w:szCs w:val="28"/>
        </w:rPr>
        <w:t>一）社会保障和就业支出类（1735.6万元）</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1.就业补助（429.4万元）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根据《河南省就业补助资金管理办法》的规定。（1）围绕帮助劳动者实现就业和稳定就业的需要，以落实就业扶持政策为主线，以强化就业服务为手段，以加大投入保障，以帮助困难人员就业为重点。（2）坚持民生为本、就业扶贫为第一要务，多渠道就业岗位，着力加强职业技能培训，支持劳动者自谋职业和自主创业，鼓励企业吸纳就业困难人员就业。（3）努力扩大就业，积极促进再就业。</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组织实施单位：由人社局统一组织实施</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2.残疾人实用技术培训（3.23万元）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以贫困残疾人就业培训需求为导向，开展油料牡丹种植技术及辣椒套种培训，就地就近原则进行培训。（2）年龄在16-59周岁的轻度肢体、视力听力、言语残疾人（符合培训条件且有强烈培训意愿的年龄可适当放宽）。（3）残疾人直系亲属(含建档立卡贫困户残疾人非直系亲属)。（4）通过实施项目，改善残疾人居家环境，提高残疾人生活质量，适度解放重度残疾人家庭生产力，为残疾人实现脱贫创造条件。</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组织实施单位：由残疾人联合会统一组织实施。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3.贫困残疾人无障碍设施（5.95万元）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建档立卡残疾人，持有第二代《中华人民共和国残疾人证》，残疾等级为一级、二级的重度残疾人。（2）实施无障碍改造的残疾人家庭应为拥有非租借的固定住房（有产权包括宅基地、长期居住或者公租房），住房具备改造条件。（3）残疾人对无障碍设施依赖性强，有无障碍改造需求。（4）通过实施项目，改善残疾人居家环境，提高残疾人生活质量。</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组织实施单位：由残疾人联合会统一组织实施。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4.贫困残疾人集中托养（13.5万元）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建档立卡贫困精神残疾人集中托养机构给予人均1500元/年资金补贴，入驻集中托养机构贫困精神残疾人35名，补贴资金5.25万元。（2）建档立卡贫困户重度残疾人集中托养机构给予人均1500元/年资金补贴，入驻集中托养机构贫困户重度残疾人23名，补贴资金3.45万元。。（3）建档立卡贫困残疾人托养（日间照料），对大虹桥乡、三阳乡、北郭乡、小董乡建档立卡贫困残疾人托养机构给予人均1500元/年资金补贴，入驻集中托养机构贫困户重度残疾人32名，补贴资金4.8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组织实施单位：由残疾人联合会统一组织实施。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5.农村最低生活保障（806万元）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分配原则：（1）城市居民最低生活保障人均补差由每人每月250元提高到263元，农村居民最低生活保障人均补差由每人每月142元提高到154元。全年建档立卡贫困户享受低保11948人，发放低保金806万元。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6.临时救助（18.58万元）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大病专项救助：低收入家庭老年人、未成年人、重度残疾人重病患者对象为重特大疾病救助对象。对经基本医疗保险等报销后个人负担的合规医疗费用，超过大病保险起付线的疾病给予救助。根据我县医疗救助资金情况和参照新农合大病保险报销比例，重大疾病救助按超过大病保险起付线以上合规自负费用的50%进行救助，年封顶乡5000元。（2）突发意外事件救助：低保家庭或低收入家庭成员中因灾、因祸、因突发性事件和不可抗拒性因素，在扣除各类赔偿、保险等资金后，个人负担仍然较重，直接导致家庭基本生活难以维持的，给予1000-5000元救助，辅以物质救助。（3）教育专项救助：低保家庭或低收入家庭成员中，经考试被国家正式国民教育录取的在读大学生，难以支付学费的（不含自费择校生），根据家庭困难程度，给予1000-3000元救助。（四）一般生活救助：低保家庭或低收入家庭成员中因突发极难事件，短时间内造成家庭生活出现困难的或其他特殊情况造成家庭生活特别困难的，根据家庭困难程度，给予1000元以下生活救助，辅以物质救助。(五)临时救助：参考我县城市最低生活补助保障标准、困难家庭人口数和困难延续时限三个要素计算确定。申请人以同一事由申请临时救助，一年内只能享受一次。临时救助原则上每年度不重复救助，但如特殊情况必须重复救助的，年内救助金额不得超过5000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7．流浪乞讨人员救助（30万元）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分配原则：（1）对无着落的流浪乞讨实施生活救助。（2）将长期滞站人员进行DNA采集，已经采集24人，长期滞站受助人员的推送率和DNA采集率工作达到了100%。（4）救助护送流浪乞讨人员。</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8.贫困户特困供养（42.38万元）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城市特困集中和分散供养标准分别达到9600元、7800元，农村特困集中和分散供养标准分别达到6000元、4530元，照料护理标准分为全护理（一档）2160/年人、半护理（二档）1441/年人，和全自理（三档）720/年人。全年建档立卡贫困户享受特困供养326人，发放低保金42.38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9.孤儿基本生活补助（90.06万元）                     </w:t>
      </w:r>
    </w:p>
    <w:p>
      <w:pPr>
        <w:spacing w:line="540" w:lineRule="exact"/>
        <w:ind w:firstLine="640"/>
        <w:rPr>
          <w:rFonts w:ascii="宋体" w:hAnsi="宋体" w:eastAsia="宋体" w:cs="宋体"/>
          <w:b/>
          <w:sz w:val="28"/>
          <w:szCs w:val="28"/>
        </w:rPr>
      </w:pPr>
      <w:r>
        <w:rPr>
          <w:rFonts w:hint="eastAsia" w:ascii="宋体" w:hAnsi="宋体" w:eastAsia="宋体" w:cs="宋体"/>
          <w:sz w:val="28"/>
          <w:szCs w:val="28"/>
        </w:rPr>
        <w:t>分配原则：（1）落实孤儿保障各项政策，进一步规范了孤儿救助体系。（2）建立孤儿巡访制度，完善孤儿巡访记录。（3）建立乡镇孤儿档案体系，健全孤儿保障工作档案。（4）按照国家规定标准，全额予以保障。根据焦作【2017】74号文件精神，社会散居和机构供养孤儿养育标准分别提高到每人每月700和1100元，我县从2017年1月1日起，对享受儿童福利的标准进行了调整，社会散居孤儿每人每月不低于700元，机构养育孤儿每人每月不低于1100元。我县共有孤儿102名，其中，机构养育的有8人，散居的有94人。2018年共发放儿童福利金计90.06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10.困难群众城乡居民养老（396万元）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分配原则：符合领取城乡居民基础养老金的贫困人员，每月由居保计算机系统生成，通过指定银行以存折的形式将基础养老金发放到贫困户。</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组织实施单位：由人社局统一组织实施</w:t>
      </w:r>
    </w:p>
    <w:p>
      <w:pPr>
        <w:spacing w:line="5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（二）医疗支出与计划生育支出类（1735.6万元）</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1.城乡居民基本医疗保险（1336.84万元）</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分配原则：（1）对全县建档立卡困难群众，城乡居民实行医保报销。（2）对重特大疾病的城乡居民实行医保报销。（3）对符合慢性病政策建档立卡困难群众，城乡居民实行医保报销。</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组织实施单位：由人社局统一组织实施。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2.城乡医疗救助（336.58万元）</w:t>
      </w:r>
    </w:p>
    <w:p>
      <w:pPr>
        <w:spacing w:line="540" w:lineRule="exact"/>
        <w:ind w:firstLine="140" w:firstLineChars="50"/>
        <w:rPr>
          <w:rFonts w:ascii="宋体" w:hAnsi="宋体" w:eastAsia="宋体" w:cs="宋体"/>
          <w:sz w:val="28"/>
          <w:szCs w:val="28"/>
        </w:rPr>
      </w:pPr>
      <w:r>
        <w:rPr>
          <w:rFonts w:hint="eastAsia" w:ascii="宋体" w:hAnsi="宋体" w:eastAsia="宋体" w:cs="宋体"/>
          <w:sz w:val="28"/>
          <w:szCs w:val="28"/>
        </w:rPr>
        <w:t>分配原则：（1）资助参加城乡居民基本医疗保险，对建档立卡贫困对象参加城乡居民基本医疗保险的个人缴费部分给予补贴。（2）对特殊病种门诊救助。门诊病种共有九种，包括终末期肾病、血友病、慢性粒细胞性白血病、I型糖尿病、耐多药肺结核、再生障碍性贫血、恶性肿瘤门诊放化疗、器官移植术后抗排异治疗、重性精神病人药物维持治疗。（3）住院救助。建档立卡贫困人员在定点医疗机构发生的政策范围内住院费用，经基本医疗保险、城乡居民大病保险、困难群众大病补充保险报销后的剩余合规费用，按比例和限额给予救助。</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组织实施单位：由民政局统一组织实施。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 xml:space="preserve">3.医疗保险费精准扶贫托底救助（62.18万元）             </w:t>
      </w:r>
    </w:p>
    <w:p>
      <w:pPr>
        <w:spacing w:line="540" w:lineRule="exact"/>
        <w:ind w:firstLine="640"/>
        <w:rPr>
          <w:rFonts w:ascii="宋体" w:hAnsi="宋体" w:eastAsia="宋体" w:cs="宋体"/>
          <w:sz w:val="28"/>
          <w:szCs w:val="28"/>
        </w:rPr>
      </w:pPr>
      <w:r>
        <w:rPr>
          <w:rFonts w:hint="eastAsia" w:ascii="宋体" w:hAnsi="宋体" w:eastAsia="宋体" w:cs="宋体"/>
          <w:sz w:val="28"/>
          <w:szCs w:val="28"/>
        </w:rPr>
        <w:t>分配原则:根据《焦作市财政专项扶贫资金管理办法》要求。2017年7月12日武陟县试点，2018年1月1日起，全面推广</w:t>
      </w:r>
      <w:r>
        <w:rPr>
          <w:rFonts w:ascii="宋体" w:hAnsi="宋体" w:eastAsia="宋体" w:cs="宋体"/>
          <w:sz w:val="28"/>
          <w:szCs w:val="28"/>
        </w:rPr>
        <w:t>“</w:t>
      </w:r>
      <w:r>
        <w:rPr>
          <w:rFonts w:hint="eastAsia" w:ascii="宋体" w:hAnsi="宋体" w:eastAsia="宋体" w:cs="宋体"/>
          <w:sz w:val="28"/>
          <w:szCs w:val="28"/>
        </w:rPr>
        <w:t>两定制一兜底</w:t>
      </w:r>
      <w:r>
        <w:rPr>
          <w:rFonts w:ascii="宋体" w:hAnsi="宋体" w:eastAsia="宋体" w:cs="宋体"/>
          <w:sz w:val="28"/>
          <w:szCs w:val="28"/>
        </w:rPr>
        <w:t>”</w:t>
      </w:r>
      <w:r>
        <w:rPr>
          <w:rFonts w:hint="eastAsia" w:ascii="宋体" w:hAnsi="宋体" w:eastAsia="宋体" w:cs="宋体"/>
          <w:sz w:val="28"/>
          <w:szCs w:val="28"/>
        </w:rPr>
        <w:t xml:space="preserve">健康扶贫模式。其中。医疗保险精准扶贫托底救助标准：2017年试点人均补助14元，2018年人均140元，市县两级财政按2：8比例分担。                                                 </w:t>
      </w:r>
    </w:p>
    <w:p>
      <w:pPr>
        <w:spacing w:line="540" w:lineRule="exact"/>
        <w:ind w:firstLine="640"/>
        <w:rPr>
          <w:rFonts w:hint="eastAsia" w:ascii="宋体" w:hAnsi="宋体" w:eastAsia="宋体" w:cs="宋体"/>
          <w:sz w:val="28"/>
          <w:szCs w:val="28"/>
        </w:rPr>
      </w:pPr>
      <w:r>
        <w:rPr>
          <w:rFonts w:hint="eastAsia" w:ascii="宋体" w:hAnsi="宋体" w:eastAsia="宋体" w:cs="宋体"/>
          <w:sz w:val="28"/>
          <w:szCs w:val="28"/>
        </w:rPr>
        <w:t>组织实施单位：由农业局统一组织实施。</w:t>
      </w: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p>
      <w:pPr>
        <w:spacing w:line="540" w:lineRule="exact"/>
        <w:ind w:firstLine="640"/>
        <w:rPr>
          <w:rFonts w:hint="eastAsia" w:ascii="宋体" w:hAnsi="宋体" w:eastAsia="宋体" w:cs="宋体"/>
          <w:sz w:val="28"/>
          <w:szCs w:val="28"/>
        </w:rPr>
      </w:pPr>
    </w:p>
    <w:tbl>
      <w:tblPr>
        <w:tblW w:w="10376" w:type="dxa"/>
        <w:jc w:val="center"/>
        <w:tblInd w:w="-1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93"/>
        <w:gridCol w:w="2552"/>
        <w:gridCol w:w="1038"/>
        <w:gridCol w:w="2081"/>
        <w:gridCol w:w="1417"/>
        <w:gridCol w:w="947"/>
        <w:gridCol w:w="918"/>
        <w:gridCol w:w="294"/>
        <w:gridCol w:w="236"/>
      </w:tblGrid>
      <w:tr>
        <w:trPr>
          <w:gridAfter w:val="2"/>
          <w:wAfter w:w="530" w:type="dxa"/>
          <w:trHeight w:val="660" w:hRule="atLeast"/>
          <w:jc w:val="center"/>
        </w:trPr>
        <w:tc>
          <w:tcPr>
            <w:tcW w:w="9846" w:type="dxa"/>
            <w:gridSpan w:val="7"/>
            <w:tcBorders>
              <w:top w:val="nil"/>
              <w:left w:val="nil"/>
              <w:bottom w:val="single" w:color="auto" w:sz="4" w:space="0"/>
              <w:right w:val="nil"/>
            </w:tcBorders>
            <w:vAlign w:val="center"/>
          </w:tcPr>
          <w:p>
            <w:pPr>
              <w:widowControl/>
              <w:jc w:val="left"/>
              <w:rPr>
                <w:rFonts w:ascii="宋体" w:hAnsi="宋体" w:eastAsia="宋体" w:cs="Tahoma"/>
                <w:b/>
                <w:bCs/>
                <w:color w:val="000000"/>
                <w:kern w:val="0"/>
                <w:sz w:val="28"/>
                <w:szCs w:val="28"/>
              </w:rPr>
            </w:pPr>
            <w:r>
              <w:rPr>
                <w:rFonts w:hint="eastAsia" w:ascii="宋体" w:hAnsi="宋体" w:eastAsia="宋体" w:cs="Tahoma"/>
                <w:b/>
                <w:bCs/>
                <w:color w:val="000000"/>
                <w:kern w:val="0"/>
                <w:sz w:val="28"/>
                <w:szCs w:val="28"/>
              </w:rPr>
              <w:t xml:space="preserve">    四、资金分配情况表                                     单位：万元</w:t>
            </w:r>
          </w:p>
        </w:tc>
      </w:tr>
      <w:tr>
        <w:trPr>
          <w:gridAfter w:val="2"/>
          <w:wAfter w:w="530" w:type="dxa"/>
          <w:trHeight w:val="660" w:hRule="atLeast"/>
          <w:jc w:val="center"/>
        </w:trPr>
        <w:tc>
          <w:tcPr>
            <w:tcW w:w="984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Tahoma" w:hAnsi="Tahoma" w:eastAsia="宋体" w:cs="Tahoma"/>
                <w:b/>
                <w:bCs/>
                <w:color w:val="000000"/>
                <w:kern w:val="0"/>
                <w:sz w:val="24"/>
              </w:rPr>
            </w:pPr>
            <w:r>
              <w:rPr>
                <w:rFonts w:hint="eastAsia" w:ascii="宋体" w:hAnsi="宋体" w:eastAsia="宋体" w:cs="Tahoma"/>
                <w:b/>
                <w:bCs/>
                <w:color w:val="000000"/>
                <w:kern w:val="0"/>
                <w:sz w:val="24"/>
              </w:rPr>
              <w:t>武陟县</w:t>
            </w:r>
            <w:r>
              <w:rPr>
                <w:rFonts w:ascii="Tahoma" w:hAnsi="Tahoma" w:eastAsia="宋体" w:cs="Tahoma"/>
                <w:b/>
                <w:bCs/>
                <w:color w:val="000000"/>
                <w:kern w:val="0"/>
                <w:sz w:val="24"/>
              </w:rPr>
              <w:t>2018</w:t>
            </w:r>
            <w:r>
              <w:rPr>
                <w:rFonts w:hint="eastAsia" w:ascii="宋体" w:hAnsi="宋体" w:eastAsia="宋体" w:cs="Tahoma"/>
                <w:b/>
                <w:bCs/>
                <w:color w:val="000000"/>
                <w:kern w:val="0"/>
                <w:sz w:val="24"/>
              </w:rPr>
              <w:t>年统筹整合资金（扶贫分配资金）分配表</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ahoma"/>
                <w:color w:val="000000"/>
                <w:kern w:val="0"/>
                <w:sz w:val="24"/>
              </w:rPr>
            </w:pPr>
            <w:r>
              <w:rPr>
                <w:rFonts w:hint="eastAsia" w:ascii="宋体" w:hAnsi="宋体" w:eastAsia="宋体" w:cs="Tahoma"/>
                <w:color w:val="000000"/>
                <w:kern w:val="0"/>
                <w:sz w:val="24"/>
              </w:rPr>
              <w:t>序号</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Tahoma"/>
                <w:color w:val="000000"/>
                <w:kern w:val="0"/>
                <w:sz w:val="24"/>
              </w:rPr>
            </w:pPr>
            <w:r>
              <w:rPr>
                <w:rFonts w:hint="eastAsia" w:ascii="宋体" w:hAnsi="宋体" w:eastAsia="宋体" w:cs="Tahoma"/>
                <w:color w:val="000000"/>
                <w:kern w:val="0"/>
                <w:sz w:val="24"/>
              </w:rPr>
              <w:t>项目名称</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Tahoma"/>
                <w:color w:val="000000"/>
                <w:kern w:val="0"/>
                <w:sz w:val="24"/>
              </w:rPr>
            </w:pPr>
            <w:r>
              <w:rPr>
                <w:rFonts w:hint="eastAsia" w:ascii="宋体" w:hAnsi="宋体" w:eastAsia="宋体" w:cs="Tahoma"/>
                <w:color w:val="000000"/>
                <w:kern w:val="0"/>
                <w:sz w:val="24"/>
              </w:rPr>
              <w:t>内容</w:t>
            </w:r>
          </w:p>
        </w:tc>
        <w:tc>
          <w:tcPr>
            <w:tcW w:w="1417" w:type="dxa"/>
            <w:tcBorders>
              <w:top w:val="nil"/>
              <w:left w:val="nil"/>
              <w:bottom w:val="single" w:color="auto" w:sz="4" w:space="0"/>
              <w:right w:val="nil"/>
            </w:tcBorders>
            <w:vAlign w:val="center"/>
          </w:tcPr>
          <w:p>
            <w:pPr>
              <w:widowControl/>
              <w:jc w:val="center"/>
              <w:rPr>
                <w:rFonts w:ascii="宋体" w:hAnsi="宋体" w:eastAsia="宋体" w:cs="Tahoma"/>
                <w:color w:val="000000"/>
                <w:kern w:val="0"/>
                <w:sz w:val="24"/>
              </w:rPr>
            </w:pPr>
            <w:r>
              <w:rPr>
                <w:rFonts w:hint="eastAsia" w:ascii="宋体" w:hAnsi="宋体" w:eastAsia="宋体" w:cs="Tahoma"/>
                <w:color w:val="000000"/>
                <w:kern w:val="0"/>
                <w:sz w:val="24"/>
              </w:rPr>
              <w:t>投资规模</w:t>
            </w:r>
          </w:p>
        </w:tc>
        <w:tc>
          <w:tcPr>
            <w:tcW w:w="1865" w:type="dxa"/>
            <w:gridSpan w:val="2"/>
            <w:tcBorders>
              <w:top w:val="nil"/>
              <w:left w:val="single" w:color="auto" w:sz="4" w:space="0"/>
              <w:bottom w:val="single" w:color="auto" w:sz="4" w:space="0"/>
              <w:right w:val="single" w:color="auto" w:sz="4" w:space="0"/>
            </w:tcBorders>
            <w:vAlign w:val="center"/>
          </w:tcPr>
          <w:p>
            <w:pPr>
              <w:widowControl/>
              <w:rPr>
                <w:rFonts w:ascii="宋体" w:hAnsi="宋体" w:eastAsia="宋体" w:cs="Tahoma"/>
                <w:color w:val="000000"/>
                <w:kern w:val="0"/>
                <w:sz w:val="24"/>
              </w:rPr>
            </w:pPr>
            <w:r>
              <w:rPr>
                <w:rFonts w:hint="eastAsia" w:ascii="宋体" w:hAnsi="宋体" w:eastAsia="宋体" w:cs="Tahoma"/>
                <w:color w:val="000000"/>
                <w:kern w:val="0"/>
                <w:sz w:val="24"/>
              </w:rPr>
              <w:t>责任单位</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1</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就业补助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就业补助</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429.4</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人社局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2</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残疾人实用技术培训</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残疾人实用技术培训资金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3.23</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残疾人联合会</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3</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残疾人无障碍设施改造</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残疾人无障碍设施改造资金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5.95</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残疾人联合会</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4</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残疾人集中托养</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残疾人集中托养资金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13.5</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残疾人联合会</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5</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农村最低生活保障</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农村最低生活保障资金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806</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6</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临时救助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临时救助资金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18.58</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7</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流浪乞讨人员救助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流浪乞讨人员救助资金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30</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8</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特困供养</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特困供养资金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42.38</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9</w:t>
            </w:r>
          </w:p>
        </w:tc>
        <w:tc>
          <w:tcPr>
            <w:tcW w:w="2552" w:type="dxa"/>
            <w:tcBorders>
              <w:top w:val="nil"/>
              <w:left w:val="nil"/>
              <w:bottom w:val="nil"/>
              <w:right w:val="nil"/>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孤儿基本生活补助</w:t>
            </w:r>
          </w:p>
        </w:tc>
        <w:tc>
          <w:tcPr>
            <w:tcW w:w="3119"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孤儿基本生活补助资金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90.06</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10</w:t>
            </w:r>
          </w:p>
        </w:tc>
        <w:tc>
          <w:tcPr>
            <w:tcW w:w="2552" w:type="dxa"/>
            <w:tcBorders>
              <w:top w:val="single" w:color="auto" w:sz="4" w:space="0"/>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城乡居民基本养老保险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城乡居民基本养老保险资金</w:t>
            </w:r>
          </w:p>
        </w:tc>
        <w:tc>
          <w:tcPr>
            <w:tcW w:w="1417" w:type="dxa"/>
            <w:tcBorders>
              <w:top w:val="nil"/>
              <w:left w:val="nil"/>
              <w:bottom w:val="single" w:color="auto" w:sz="4" w:space="0"/>
              <w:right w:val="nil"/>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396</w:t>
            </w:r>
          </w:p>
        </w:tc>
        <w:tc>
          <w:tcPr>
            <w:tcW w:w="1865"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人社局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11</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城乡居民基本养老保险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城乡居民基本养老保险资金</w:t>
            </w:r>
          </w:p>
        </w:tc>
        <w:tc>
          <w:tcPr>
            <w:tcW w:w="1417" w:type="dxa"/>
            <w:tcBorders>
              <w:top w:val="nil"/>
              <w:left w:val="nil"/>
              <w:bottom w:val="single" w:color="auto" w:sz="4" w:space="0"/>
              <w:right w:val="single" w:color="auto" w:sz="4" w:space="0"/>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1336.84</w:t>
            </w:r>
          </w:p>
        </w:tc>
        <w:tc>
          <w:tcPr>
            <w:tcW w:w="1865"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人社局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12</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城乡医疗救助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城乡医疗救助资金</w:t>
            </w:r>
          </w:p>
        </w:tc>
        <w:tc>
          <w:tcPr>
            <w:tcW w:w="1417" w:type="dxa"/>
            <w:tcBorders>
              <w:top w:val="nil"/>
              <w:left w:val="nil"/>
              <w:bottom w:val="single" w:color="auto" w:sz="4" w:space="0"/>
              <w:right w:val="single" w:color="auto" w:sz="4" w:space="0"/>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336.58</w:t>
            </w:r>
          </w:p>
        </w:tc>
        <w:tc>
          <w:tcPr>
            <w:tcW w:w="1865"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民政局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13</w:t>
            </w:r>
          </w:p>
        </w:tc>
        <w:tc>
          <w:tcPr>
            <w:tcW w:w="2552" w:type="dxa"/>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医疗保险费精准扶贫托底救助</w:t>
            </w:r>
          </w:p>
        </w:tc>
        <w:tc>
          <w:tcPr>
            <w:tcW w:w="3119"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医疗保险费精准扶贫托底救助资金</w:t>
            </w:r>
          </w:p>
        </w:tc>
        <w:tc>
          <w:tcPr>
            <w:tcW w:w="1417" w:type="dxa"/>
            <w:tcBorders>
              <w:top w:val="nil"/>
              <w:left w:val="nil"/>
              <w:bottom w:val="single" w:color="auto" w:sz="4" w:space="0"/>
              <w:right w:val="single" w:color="auto" w:sz="4" w:space="0"/>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62.18</w:t>
            </w:r>
          </w:p>
        </w:tc>
        <w:tc>
          <w:tcPr>
            <w:tcW w:w="1865" w:type="dxa"/>
            <w:gridSpan w:val="2"/>
            <w:tcBorders>
              <w:top w:val="nil"/>
              <w:left w:val="nil"/>
              <w:bottom w:val="single" w:color="auto" w:sz="4" w:space="0"/>
              <w:right w:val="single" w:color="auto" w:sz="4" w:space="0"/>
            </w:tcBorders>
            <w:vAlign w:val="bottom"/>
          </w:tcPr>
          <w:p>
            <w:pPr>
              <w:widowControl/>
              <w:jc w:val="left"/>
              <w:rPr>
                <w:rFonts w:ascii="宋体" w:hAnsi="宋体" w:eastAsia="宋体" w:cs="Tahoma"/>
                <w:color w:val="000000"/>
                <w:kern w:val="0"/>
                <w:sz w:val="24"/>
              </w:rPr>
            </w:pPr>
            <w:r>
              <w:rPr>
                <w:rFonts w:hint="eastAsia" w:ascii="宋体" w:hAnsi="宋体" w:eastAsia="宋体" w:cs="Tahoma"/>
                <w:color w:val="000000"/>
                <w:kern w:val="0"/>
                <w:sz w:val="24"/>
              </w:rPr>
              <w:t>农业局</w:t>
            </w:r>
          </w:p>
        </w:tc>
      </w:tr>
      <w:tr>
        <w:trPr>
          <w:gridAfter w:val="2"/>
          <w:wAfter w:w="530" w:type="dxa"/>
          <w:trHeight w:val="660" w:hRule="atLeast"/>
          <w:jc w:val="center"/>
        </w:trPr>
        <w:tc>
          <w:tcPr>
            <w:tcW w:w="893" w:type="dxa"/>
            <w:tcBorders>
              <w:top w:val="nil"/>
              <w:left w:val="single" w:color="auto" w:sz="4" w:space="0"/>
              <w:bottom w:val="single" w:color="auto" w:sz="4" w:space="0"/>
              <w:right w:val="single" w:color="auto" w:sz="4" w:space="0"/>
            </w:tcBorders>
            <w:vAlign w:val="bottom"/>
          </w:tcPr>
          <w:p>
            <w:pPr>
              <w:widowControl/>
              <w:jc w:val="center"/>
              <w:rPr>
                <w:rFonts w:ascii="Tahoma" w:hAnsi="Tahoma" w:eastAsia="宋体" w:cs="Tahoma"/>
                <w:color w:val="000000"/>
                <w:kern w:val="0"/>
                <w:sz w:val="24"/>
              </w:rPr>
            </w:pPr>
            <w:r>
              <w:rPr>
                <w:rFonts w:ascii="Tahoma" w:hAnsi="Tahoma" w:eastAsia="宋体" w:cs="Tahoma"/>
                <w:color w:val="000000"/>
                <w:kern w:val="0"/>
                <w:sz w:val="24"/>
              </w:rPr>
              <w:t>　</w:t>
            </w:r>
          </w:p>
        </w:tc>
        <w:tc>
          <w:tcPr>
            <w:tcW w:w="2552" w:type="dxa"/>
            <w:tcBorders>
              <w:top w:val="nil"/>
              <w:left w:val="nil"/>
              <w:bottom w:val="single" w:color="auto" w:sz="4" w:space="0"/>
              <w:right w:val="single" w:color="auto" w:sz="4" w:space="0"/>
            </w:tcBorders>
            <w:vAlign w:val="bottom"/>
          </w:tcPr>
          <w:p>
            <w:pPr>
              <w:widowControl/>
              <w:jc w:val="left"/>
              <w:rPr>
                <w:rFonts w:ascii="Tahoma" w:hAnsi="Tahoma" w:eastAsia="宋体" w:cs="Tahoma"/>
                <w:color w:val="000000"/>
                <w:kern w:val="0"/>
                <w:sz w:val="24"/>
              </w:rPr>
            </w:pPr>
            <w:r>
              <w:rPr>
                <w:rFonts w:ascii="Tahoma" w:hAnsi="Tahoma" w:eastAsia="宋体" w:cs="Tahoma"/>
                <w:color w:val="000000"/>
                <w:kern w:val="0"/>
                <w:sz w:val="24"/>
              </w:rPr>
              <w:t>　</w:t>
            </w:r>
          </w:p>
        </w:tc>
        <w:tc>
          <w:tcPr>
            <w:tcW w:w="3119" w:type="dxa"/>
            <w:gridSpan w:val="2"/>
            <w:tcBorders>
              <w:top w:val="nil"/>
              <w:left w:val="nil"/>
              <w:bottom w:val="single" w:color="auto" w:sz="4" w:space="0"/>
              <w:right w:val="single" w:color="auto" w:sz="4" w:space="0"/>
            </w:tcBorders>
            <w:vAlign w:val="bottom"/>
          </w:tcPr>
          <w:p>
            <w:pPr>
              <w:widowControl/>
              <w:jc w:val="left"/>
              <w:rPr>
                <w:rFonts w:ascii="Tahoma" w:hAnsi="Tahoma" w:eastAsia="宋体" w:cs="Tahoma"/>
                <w:color w:val="000000"/>
                <w:kern w:val="0"/>
                <w:sz w:val="24"/>
              </w:rPr>
            </w:pPr>
            <w:r>
              <w:rPr>
                <w:rFonts w:ascii="Tahoma" w:hAnsi="Tahoma" w:eastAsia="宋体" w:cs="Tahoma"/>
                <w:color w:val="000000"/>
                <w:kern w:val="0"/>
                <w:sz w:val="24"/>
              </w:rPr>
              <w:t>　</w:t>
            </w:r>
          </w:p>
        </w:tc>
        <w:tc>
          <w:tcPr>
            <w:tcW w:w="1417" w:type="dxa"/>
            <w:tcBorders>
              <w:top w:val="nil"/>
              <w:left w:val="nil"/>
              <w:bottom w:val="single" w:color="auto" w:sz="4" w:space="0"/>
              <w:right w:val="single" w:color="auto" w:sz="4" w:space="0"/>
            </w:tcBorders>
            <w:vAlign w:val="bottom"/>
          </w:tcPr>
          <w:p>
            <w:pPr>
              <w:widowControl/>
              <w:jc w:val="right"/>
              <w:rPr>
                <w:rFonts w:ascii="Tahoma" w:hAnsi="Tahoma" w:eastAsia="宋体" w:cs="Tahoma"/>
                <w:color w:val="000000"/>
                <w:kern w:val="0"/>
                <w:sz w:val="24"/>
              </w:rPr>
            </w:pPr>
            <w:r>
              <w:rPr>
                <w:rFonts w:ascii="Tahoma" w:hAnsi="Tahoma" w:eastAsia="宋体" w:cs="Tahoma"/>
                <w:color w:val="000000"/>
                <w:kern w:val="0"/>
                <w:sz w:val="24"/>
              </w:rPr>
              <w:t>3570.7</w:t>
            </w:r>
          </w:p>
        </w:tc>
        <w:tc>
          <w:tcPr>
            <w:tcW w:w="1865" w:type="dxa"/>
            <w:gridSpan w:val="2"/>
            <w:tcBorders>
              <w:top w:val="nil"/>
              <w:left w:val="nil"/>
              <w:bottom w:val="single" w:color="auto" w:sz="4" w:space="0"/>
              <w:right w:val="single" w:color="auto" w:sz="4" w:space="0"/>
            </w:tcBorders>
            <w:vAlign w:val="bottom"/>
          </w:tcPr>
          <w:p>
            <w:pPr>
              <w:widowControl/>
              <w:jc w:val="left"/>
              <w:rPr>
                <w:rFonts w:ascii="Tahoma" w:hAnsi="Tahoma" w:eastAsia="宋体" w:cs="Tahoma"/>
                <w:color w:val="000000"/>
                <w:kern w:val="0"/>
                <w:sz w:val="24"/>
              </w:rPr>
            </w:pPr>
            <w:r>
              <w:rPr>
                <w:rFonts w:ascii="Tahoma" w:hAnsi="Tahoma" w:eastAsia="宋体" w:cs="Tahoma"/>
                <w:color w:val="000000"/>
                <w:kern w:val="0"/>
                <w:sz w:val="24"/>
              </w:rPr>
              <w:t>　</w:t>
            </w:r>
          </w:p>
        </w:tc>
      </w:tr>
      <w:tr>
        <w:trPr>
          <w:gridAfter w:val="2"/>
          <w:wAfter w:w="530" w:type="dxa"/>
          <w:trHeight w:val="660" w:hRule="atLeast"/>
          <w:jc w:val="center"/>
        </w:trPr>
        <w:tc>
          <w:tcPr>
            <w:tcW w:w="9846" w:type="dxa"/>
            <w:gridSpan w:val="7"/>
            <w:tcBorders>
              <w:top w:val="single" w:color="auto" w:sz="4" w:space="0"/>
              <w:left w:val="nil"/>
              <w:bottom w:val="nil"/>
              <w:right w:val="nil"/>
            </w:tcBorders>
            <w:vAlign w:val="bottom"/>
          </w:tcPr>
          <w:p>
            <w:pPr>
              <w:widowControl/>
              <w:jc w:val="left"/>
              <w:rPr>
                <w:rFonts w:ascii="Tahoma" w:hAnsi="Tahoma" w:eastAsia="宋体" w:cs="Tahoma"/>
                <w:color w:val="000000"/>
                <w:kern w:val="0"/>
                <w:sz w:val="24"/>
              </w:rPr>
            </w:pPr>
            <w:r>
              <w:rPr>
                <w:rFonts w:ascii="Tahoma" w:hAnsi="Tahoma" w:eastAsia="宋体" w:cs="Tahoma"/>
                <w:color w:val="000000"/>
                <w:kern w:val="0"/>
                <w:sz w:val="24"/>
              </w:rPr>
              <w:t xml:space="preserve">         </w:t>
            </w:r>
            <w:r>
              <w:rPr>
                <w:rFonts w:hint="eastAsia" w:ascii="宋体" w:hAnsi="宋体" w:eastAsia="宋体" w:cs="Tahoma"/>
                <w:color w:val="000000"/>
                <w:kern w:val="0"/>
                <w:sz w:val="24"/>
              </w:rPr>
              <w:t>备注</w:t>
            </w:r>
            <w:r>
              <w:rPr>
                <w:rFonts w:ascii="Tahoma" w:hAnsi="Tahoma" w:eastAsia="宋体" w:cs="Tahoma"/>
                <w:color w:val="000000"/>
                <w:kern w:val="0"/>
                <w:sz w:val="24"/>
              </w:rPr>
              <w:t>:</w:t>
            </w:r>
            <w:r>
              <w:rPr>
                <w:rFonts w:hint="eastAsia" w:ascii="宋体" w:hAnsi="宋体" w:eastAsia="宋体" w:cs="Tahoma"/>
                <w:color w:val="000000"/>
                <w:kern w:val="0"/>
                <w:sz w:val="24"/>
              </w:rPr>
              <w:t>每个具体项目建设情况由负责单位另行公告公示</w:t>
            </w:r>
          </w:p>
        </w:tc>
      </w:tr>
      <w:tr>
        <w:trPr>
          <w:gridAfter w:val="2"/>
          <w:wAfter w:w="530" w:type="dxa"/>
          <w:trHeight w:val="660" w:hRule="atLeast"/>
          <w:jc w:val="center"/>
        </w:trPr>
        <w:tc>
          <w:tcPr>
            <w:tcW w:w="9846" w:type="dxa"/>
            <w:gridSpan w:val="7"/>
            <w:tcBorders>
              <w:top w:val="nil"/>
              <w:left w:val="nil"/>
              <w:bottom w:val="nil"/>
              <w:right w:val="nil"/>
            </w:tcBorders>
            <w:vAlign w:val="bottom"/>
          </w:tcPr>
          <w:p>
            <w:pPr>
              <w:widowControl/>
              <w:jc w:val="right"/>
              <w:rPr>
                <w:rFonts w:ascii="宋体" w:hAnsi="宋体" w:eastAsia="宋体" w:cs="Tahoma"/>
                <w:color w:val="000000"/>
                <w:kern w:val="0"/>
                <w:sz w:val="28"/>
                <w:szCs w:val="28"/>
              </w:rPr>
            </w:pPr>
            <w:r>
              <w:rPr>
                <w:rFonts w:hint="eastAsia" w:ascii="宋体" w:hAnsi="宋体" w:eastAsia="宋体" w:cs="Tahoma"/>
                <w:color w:val="000000"/>
                <w:kern w:val="0"/>
                <w:sz w:val="28"/>
                <w:szCs w:val="28"/>
              </w:rPr>
              <w:t>2019年1月21日</w:t>
            </w:r>
          </w:p>
        </w:tc>
      </w:tr>
      <w:tr>
        <w:trPr>
          <w:trHeight w:val="660" w:hRule="atLeast"/>
          <w:jc w:val="center"/>
        </w:trPr>
        <w:tc>
          <w:tcPr>
            <w:tcW w:w="893" w:type="dxa"/>
            <w:tcBorders>
              <w:top w:val="nil"/>
              <w:left w:val="nil"/>
              <w:bottom w:val="nil"/>
              <w:right w:val="nil"/>
            </w:tcBorders>
            <w:vAlign w:val="bottom"/>
          </w:tcPr>
          <w:p>
            <w:pPr>
              <w:widowControl/>
              <w:jc w:val="left"/>
              <w:rPr>
                <w:rFonts w:ascii="Tahoma" w:hAnsi="Tahoma" w:eastAsia="宋体" w:cs="Tahoma"/>
                <w:color w:val="000000"/>
                <w:kern w:val="0"/>
                <w:sz w:val="22"/>
                <w:szCs w:val="22"/>
              </w:rPr>
            </w:pPr>
          </w:p>
        </w:tc>
        <w:tc>
          <w:tcPr>
            <w:tcW w:w="3590" w:type="dxa"/>
            <w:gridSpan w:val="2"/>
            <w:tcBorders>
              <w:top w:val="nil"/>
              <w:left w:val="nil"/>
              <w:bottom w:val="nil"/>
              <w:right w:val="nil"/>
            </w:tcBorders>
            <w:vAlign w:val="bottom"/>
          </w:tcPr>
          <w:p>
            <w:pPr>
              <w:widowControl/>
              <w:jc w:val="left"/>
              <w:rPr>
                <w:rFonts w:ascii="Tahoma" w:hAnsi="Tahoma" w:eastAsia="宋体" w:cs="Tahoma"/>
                <w:color w:val="000000"/>
                <w:kern w:val="0"/>
                <w:sz w:val="22"/>
                <w:szCs w:val="22"/>
              </w:rPr>
            </w:pPr>
          </w:p>
        </w:tc>
        <w:tc>
          <w:tcPr>
            <w:tcW w:w="4445" w:type="dxa"/>
            <w:gridSpan w:val="3"/>
            <w:tcBorders>
              <w:top w:val="nil"/>
              <w:left w:val="nil"/>
              <w:bottom w:val="nil"/>
              <w:right w:val="nil"/>
            </w:tcBorders>
            <w:vAlign w:val="bottom"/>
          </w:tcPr>
          <w:p>
            <w:pPr>
              <w:widowControl/>
              <w:jc w:val="left"/>
              <w:rPr>
                <w:rFonts w:ascii="Tahoma" w:hAnsi="Tahoma" w:eastAsia="宋体" w:cs="Tahoma"/>
                <w:color w:val="000000"/>
                <w:kern w:val="0"/>
                <w:sz w:val="22"/>
                <w:szCs w:val="22"/>
              </w:rPr>
            </w:pPr>
          </w:p>
        </w:tc>
        <w:tc>
          <w:tcPr>
            <w:tcW w:w="1212" w:type="dxa"/>
            <w:gridSpan w:val="2"/>
            <w:tcBorders>
              <w:top w:val="nil"/>
              <w:left w:val="nil"/>
              <w:bottom w:val="nil"/>
              <w:right w:val="nil"/>
            </w:tcBorders>
            <w:vAlign w:val="bottom"/>
          </w:tcPr>
          <w:p>
            <w:pPr>
              <w:widowControl/>
              <w:jc w:val="left"/>
              <w:rPr>
                <w:rFonts w:ascii="Tahoma" w:hAnsi="Tahoma" w:eastAsia="宋体" w:cs="Tahoma"/>
                <w:color w:val="000000"/>
                <w:kern w:val="0"/>
                <w:sz w:val="22"/>
                <w:szCs w:val="22"/>
              </w:rPr>
            </w:pPr>
          </w:p>
        </w:tc>
        <w:tc>
          <w:tcPr>
            <w:tcW w:w="236" w:type="dxa"/>
            <w:tcBorders>
              <w:top w:val="nil"/>
              <w:left w:val="nil"/>
              <w:bottom w:val="nil"/>
              <w:right w:val="nil"/>
            </w:tcBorders>
            <w:vAlign w:val="bottom"/>
          </w:tcPr>
          <w:p>
            <w:pPr>
              <w:widowControl/>
              <w:jc w:val="left"/>
              <w:rPr>
                <w:rFonts w:ascii="Tahoma" w:hAnsi="Tahoma" w:eastAsia="宋体" w:cs="Tahoma"/>
                <w:color w:val="000000"/>
                <w:kern w:val="0"/>
                <w:sz w:val="22"/>
                <w:szCs w:val="22"/>
              </w:rPr>
            </w:pPr>
          </w:p>
        </w:tc>
      </w:tr>
    </w:tbl>
    <w:p>
      <w:pPr>
        <w:spacing w:line="540" w:lineRule="exact"/>
        <w:ind w:firstLine="640"/>
        <w:rPr>
          <w:rFonts w:ascii="宋体" w:hAnsi="宋体" w:eastAsia="宋体" w:cs="宋体"/>
          <w:sz w:val="28"/>
          <w:szCs w:val="28"/>
        </w:rPr>
      </w:pPr>
    </w:p>
    <w:p>
      <w:pPr>
        <w:rPr>
          <w:rFonts w:hint="eastAsia" w:ascii="宋体" w:hAnsi="宋体" w:cs="宋体"/>
          <w:b/>
          <w:bCs/>
          <w:sz w:val="32"/>
          <w:szCs w:val="40"/>
        </w:rPr>
      </w:pPr>
    </w:p>
    <w:p>
      <w:pPr>
        <w:rPr>
          <w:rFonts w:hint="eastAsia" w:ascii="宋体" w:hAnsi="宋体" w:cs="宋体"/>
          <w:b/>
          <w:bCs/>
          <w:sz w:val="32"/>
          <w:szCs w:val="40"/>
        </w:rPr>
      </w:pPr>
    </w:p>
    <w:p>
      <w:pPr>
        <w:rPr>
          <w:rFonts w:hint="eastAsia" w:ascii="宋体" w:hAnsi="宋体" w:cs="宋体"/>
          <w:b/>
          <w:bCs/>
          <w:sz w:val="32"/>
          <w:szCs w:val="40"/>
        </w:rPr>
      </w:pPr>
    </w:p>
    <w:p>
      <w:pPr>
        <w:rPr>
          <w:rFonts w:hint="eastAsia" w:ascii="宋体" w:hAnsi="宋体" w:cs="宋体"/>
          <w:b/>
          <w:bCs/>
          <w:sz w:val="32"/>
          <w:szCs w:val="40"/>
        </w:rPr>
      </w:pPr>
    </w:p>
    <w:p>
      <w:pPr>
        <w:ind w:firstLine="790" w:firstLineChars="246"/>
        <w:rPr>
          <w:rFonts w:ascii="宋体" w:hAnsi="宋体" w:cs="宋体"/>
          <w:b/>
          <w:bCs/>
          <w:sz w:val="32"/>
          <w:szCs w:val="40"/>
        </w:rPr>
      </w:pPr>
      <w:r>
        <w:rPr>
          <w:rFonts w:hint="eastAsia" w:ascii="宋体" w:hAnsi="宋体" w:cs="宋体"/>
          <w:b/>
          <w:bCs/>
          <w:sz w:val="32"/>
          <w:szCs w:val="40"/>
        </w:rPr>
        <w:t>监督电话：</w:t>
      </w:r>
      <w:bookmarkStart w:id="0" w:name="_GoBack"/>
      <w:bookmarkEnd w:id="0"/>
      <w:r>
        <w:rPr>
          <w:rFonts w:hint="eastAsia" w:ascii="宋体" w:hAnsi="宋体" w:cs="宋体"/>
          <w:b/>
          <w:bCs/>
          <w:sz w:val="32"/>
          <w:szCs w:val="40"/>
        </w:rPr>
        <w:t xml:space="preserve">   0391-7292352</w:t>
      </w:r>
    </w:p>
    <w:p>
      <w:pPr>
        <w:rPr>
          <w:rFonts w:ascii="宋体" w:hAnsi="宋体" w:cs="宋体"/>
          <w:b/>
          <w:bCs/>
          <w:sz w:val="32"/>
          <w:szCs w:val="40"/>
        </w:rPr>
      </w:pPr>
    </w:p>
    <w:p>
      <w:pPr>
        <w:ind w:firstLine="1120" w:firstLineChars="4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 xml:space="preserve"> 武陟县财政局</w:t>
      </w:r>
    </w:p>
    <w:p>
      <w:pPr>
        <w:ind w:firstLine="560" w:firstLineChars="200"/>
        <w:jc w:val="right"/>
        <w:rPr>
          <w:rFonts w:ascii="宋体" w:hAnsi="宋体" w:cs="宋体"/>
          <w:sz w:val="28"/>
          <w:szCs w:val="28"/>
        </w:rPr>
      </w:pPr>
    </w:p>
    <w:p>
      <w:pPr>
        <w:ind w:right="560" w:firstLine="5180" w:firstLineChars="1850"/>
        <w:rPr>
          <w:rFonts w:ascii="宋体" w:hAnsi="宋体" w:cs="宋体"/>
          <w:sz w:val="28"/>
          <w:szCs w:val="28"/>
        </w:rPr>
      </w:pPr>
      <w:r>
        <w:rPr>
          <w:rFonts w:hint="eastAsia" w:ascii="宋体" w:hAnsi="宋体" w:cs="宋体"/>
          <w:sz w:val="28"/>
          <w:szCs w:val="28"/>
        </w:rPr>
        <w:t>2019年1月21日</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chineseCounting"/>
      <w:suff w:val="nothing"/>
      <w:lvlText w:val="%1、"/>
      <w:lvlJc w:val="left"/>
    </w:lvl>
  </w:abstractNum>
  <w:abstractNum w:abstractNumId="7">
    <w:nsid w:val="00000007"/>
    <w:multiLevelType w:val="singleLevel"/>
    <w:tmpl w:val="00000007"/>
    <w:lvl w:ilvl="0" w:tentative="1">
      <w:start w:val="2"/>
      <w:numFmt w:val="chineseCounting"/>
      <w:suff w:val="nothing"/>
      <w:lvlText w:val="%1、"/>
      <w:lvlJc w:val="left"/>
    </w:lvl>
  </w:abstractNum>
  <w:num w:numId="1">
    <w:abstractNumId w:val="6"/>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eastAsia="宋体"/>
      <w:kern w:val="2"/>
      <w:sz w:val="18"/>
      <w:szCs w:val="18"/>
    </w:rPr>
  </w:style>
  <w:style w:type="character" w:customStyle="1" w:styleId="3">
    <w:name w:val="页脚 Char"/>
    <w:basedOn w:val="4"/>
    <w:link w:val="2"/>
    <w:semiHidden/>
    <w:rPr>
      <w:rFonts w:ascii="Calibri" w:hAnsi="Calibri" w:eastAsia="宋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customStyle="1" w:styleId="6">
    <w:name w:val="页眉 Char"/>
    <w:basedOn w:val="4"/>
    <w:link w:val="5"/>
    <w:semiHidden/>
    <w:rPr>
      <w:rFonts w:ascii="Calibri" w:hAnsi="Calibri" w:eastAsia="宋体"/>
      <w:kern w:val="2"/>
      <w:sz w:val="18"/>
      <w:szCs w:val="18"/>
    </w:rPr>
  </w:style>
  <w:style w:type="paragraph" w:customStyle="1" w:styleId="7">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904</Words>
  <Characters>5155</Characters>
  <Lines>42</Lines>
  <Paragraphs>12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2017-12-05T11:28:00Z</dcterms:created>
  <dc:creator>Administrator</dc:creator>
  <cp:lastPrinted>2018-03-13T09:44:00Z</cp:lastPrinted>
  <dcterms:modified xsi:type="dcterms:W3CDTF">2019-01-25T15:20:33Z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