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outlineLvl w:val="9"/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</w:p>
    <w:p>
      <w:pPr>
        <w:overflowPunct w:val="0"/>
        <w:snapToGrid w:val="0"/>
        <w:spacing w:beforeAutospacing="0" w:afterAutospacing="0" w:line="240" w:lineRule="exact"/>
        <w:jc w:val="left"/>
        <w:rPr>
          <w:rFonts w:hint="eastAsia" w:ascii="Times New Roman" w:hAnsi="Times New Roman" w:eastAsia="黑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  <w:t>武陟县大封镇老催庄小学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202</w:t>
      </w:r>
      <w:r>
        <w:rPr>
          <w:rFonts w:hint="eastAsia" w:ascii="Times New Roman" w:hAnsi="Times New Roman" w:eastAsia="黑体"/>
          <w:color w:val="000000"/>
          <w:sz w:val="52"/>
          <w:szCs w:val="52"/>
          <w:lang w:val="en-US" w:eastAsia="zh-CN"/>
        </w:rPr>
        <w:t>3</w:t>
      </w:r>
      <w:r>
        <w:rPr>
          <w:rFonts w:hint="eastAsia" w:ascii="Times New Roman" w:hAnsi="Times New Roman" w:eastAsia="黑体"/>
          <w:color w:val="000000"/>
          <w:sz w:val="52"/>
          <w:szCs w:val="52"/>
        </w:rPr>
        <w:t>年度</w:t>
      </w:r>
      <w:r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  <w:t>单位</w:t>
      </w:r>
      <w:r>
        <w:rPr>
          <w:rFonts w:hint="eastAsia" w:ascii="Times New Roman" w:hAnsi="Times New Roman" w:eastAsia="黑体"/>
          <w:color w:val="000000"/>
          <w:sz w:val="52"/>
          <w:szCs w:val="52"/>
        </w:rPr>
        <w:t>预算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snapToGrid w:val="0"/>
        <w:spacing w:beforeAutospacing="0" w:afterAutospacing="0" w:line="360" w:lineRule="auto"/>
        <w:jc w:val="center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二○二三年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月</w:t>
      </w:r>
    </w:p>
    <w:p>
      <w:pPr>
        <w:overflowPunct w:val="0"/>
        <w:snapToGrid w:val="0"/>
        <w:spacing w:beforeAutospacing="0" w:afterAutospacing="0" w:line="550" w:lineRule="exact"/>
        <w:ind w:left="-142" w:right="51" w:firstLine="30" w:firstLineChars="7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br w:type="page"/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目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录</w:t>
      </w:r>
    </w:p>
    <w:p>
      <w:pPr>
        <w:overflowPunct w:val="0"/>
        <w:snapToGrid w:val="0"/>
        <w:spacing w:beforeAutospacing="0" w:afterAutospacing="0" w:line="550" w:lineRule="exact"/>
        <w:ind w:right="3569" w:firstLine="624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3569" w:firstLine="624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第一部分  概况</w:t>
      </w:r>
      <w:r>
        <w:rPr>
          <w:rFonts w:hint="eastAsia" w:ascii="Times New Roman" w:hAnsi="Times New Roman" w:eastAsia="仿宋_GB2312"/>
          <w:w w:val="99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3569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3569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二、预算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构成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21" w:firstLine="624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 xml:space="preserve">第二部分 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大封镇老催庄小学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202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21" w:firstLine="624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第三部分 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firstLine="624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大封镇老催庄小学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收支预算表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收入预算表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四、财政拨款收支预算表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六、一般公共预算基本支出预算表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七、一般公共预算基本支出明细表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八、支出经济分类汇总表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九、一般公共预算“三公”经费预算表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十、政府性基金支出预算表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十一、国有资本经营支出预算表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十二、项目支出预算表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right="51" w:firstLine="936" w:firstLineChars="3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十三、事业单位机构运行经费</w:t>
      </w:r>
    </w:p>
    <w:p>
      <w:pPr>
        <w:overflowPunct w:val="0"/>
        <w:adjustRightInd w:val="0"/>
        <w:snapToGrid w:val="0"/>
        <w:spacing w:line="550" w:lineRule="exact"/>
        <w:ind w:firstLine="917" w:firstLineChars="294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预算项目绩效目标表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firstLine="917" w:firstLineChars="294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firstLine="0" w:firstLineChars="0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Autospacing="0" w:afterAutospacing="0" w:line="550" w:lineRule="exact"/>
        <w:ind w:firstLine="0" w:firstLineChars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right="0" w:firstLine="2112" w:firstLineChars="600"/>
        <w:jc w:val="both"/>
        <w:rPr>
          <w:rFonts w:hint="eastAsia" w:ascii="Times New Roman" w:hAnsi="Times New Roman" w:eastAsia="黑体"/>
          <w:bCs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  <w:lang w:eastAsia="zh-CN"/>
        </w:rPr>
        <w:t>武陟县大封镇老催庄小学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概况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jc w:val="left"/>
        <w:rPr>
          <w:rFonts w:hint="eastAsia"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（一）机构设置情况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right="0" w:firstLine="936" w:firstLineChars="3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武陟县大封镇老催庄小学，核定校长1名，无内设机构。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jc w:val="both"/>
        <w:rPr>
          <w:rFonts w:hint="eastAsia"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楷体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right="0" w:firstLine="936" w:firstLineChars="300"/>
        <w:jc w:val="both"/>
        <w:outlineLvl w:val="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实施小学义务教育，促进基础教育发展。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right="0" w:firstLine="936" w:firstLineChars="300"/>
        <w:jc w:val="both"/>
        <w:outlineLvl w:val="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小学学历教育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jc w:val="both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武陟县大封镇老催庄小学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预算单位构成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right="0" w:firstLine="936" w:firstLineChars="3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本单位为二级预算单位，总编制数6人。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第二部分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  <w:lang w:eastAsia="zh-CN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  <w:lang w:eastAsia="zh-CN"/>
        </w:rPr>
        <w:t>武陟县大封镇老催庄小学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年度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  <w:lang w:eastAsia="zh-CN"/>
        </w:rPr>
        <w:t>单位</w:t>
      </w: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年收入总计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90.21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万元，支出总计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90.21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年相比，收、支总计各增加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7.37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8.90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%。主要原因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人员经费增加和公用经费上年结转结余。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4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年收入合计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90.21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万元，其中：一般公共预算收入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87.06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万元; 政府性基金预算收入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万元；国有资本经营预算收</w:t>
      </w:r>
      <w:r>
        <w:rPr>
          <w:rFonts w:hint="eastAsia" w:ascii="Times New Roman" w:hAnsi="Times New Roman" w:eastAsia="仿宋_GB2312"/>
          <w:color w:val="000000"/>
          <w:spacing w:val="6"/>
          <w:sz w:val="32"/>
          <w:szCs w:val="32"/>
        </w:rPr>
        <w:t>入</w:t>
      </w:r>
      <w:r>
        <w:rPr>
          <w:rFonts w:hint="eastAsia" w:ascii="Times New Roman" w:hAnsi="Times New Roman" w:eastAsia="仿宋_GB2312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pacing w:val="6"/>
          <w:sz w:val="32"/>
          <w:szCs w:val="32"/>
        </w:rPr>
        <w:t>万元；财政专户管理资金收入</w:t>
      </w:r>
      <w:r>
        <w:rPr>
          <w:rFonts w:hint="eastAsia" w:ascii="Times New Roman" w:hAnsi="Times New Roman" w:eastAsia="仿宋_GB2312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pacing w:val="6"/>
          <w:sz w:val="32"/>
          <w:szCs w:val="32"/>
        </w:rPr>
        <w:t>万元；其他收入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年支出合计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90.21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万元，其中：基本支出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86.96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99.72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%；项目支出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3.25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0.28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年一般公共预算收支预算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90.21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万元，政府性基金收支预算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万元。与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年相比，一般公共预算收支预算增加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7.37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8.90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%，主要原因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人员经费增加和公用经费上年结转结余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；政府性基金收支预算增加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%，主要原因：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本年度无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政府性基金收支；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2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年一般公共预算支出年初预算为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90.21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万元。主要用于以下方面：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教育支出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67.10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74.38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%；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社会保障和就业支出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11.54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12.79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%；医疗卫生与计划生育支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eastAsia="zh-CN"/>
        </w:rPr>
        <w:t>出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3.40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3.77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%；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住房保障支出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5.02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5.56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上年结转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3.15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万元，共占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  <w:lang w:val="en-US" w:eastAsia="zh-CN"/>
        </w:rPr>
        <w:t>3.50</w:t>
      </w:r>
      <w:r>
        <w:rPr>
          <w:rFonts w:hint="eastAsia" w:ascii="Times New Roman" w:hAnsi="Times New Roman" w:eastAsia="仿宋_GB2312"/>
          <w:color w:val="000000"/>
          <w:spacing w:val="6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2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年一般公共预算基本支出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86.96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万元，其中：</w:t>
      </w:r>
      <w:r>
        <w:rPr>
          <w:rFonts w:hint="eastAsia" w:ascii="Times New Roman" w:hAnsi="Times New Roman" w:eastAsia="仿宋_GB2312"/>
          <w:b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/>
          <w:b/>
          <w:color w:val="000000"/>
          <w:kern w:val="0"/>
          <w:sz w:val="32"/>
          <w:szCs w:val="32"/>
          <w:lang w:val="en-US" w:eastAsia="zh-CN"/>
        </w:rPr>
        <w:t>85.07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，主要包括：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基本工资、津贴补贴、奖金、绩效工资、机关事业单位基本养老保险缴费、职业年金缴费、医疗保险缴费、其他社会保障缴费、住房公积金、其他工资福利支出、离休费、退休费、其他对个人和家庭的补助支出；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公用经费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val="en-US" w:eastAsia="zh-CN"/>
        </w:rPr>
        <w:t>1.89</w:t>
      </w: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主要包括：办公费、印刷费、咨询费、手续费、水费、电费、邮电费、取暖费、差旅费、维修（护）费、租赁费、会议费、培训费、专用材料费、专用燃料费、劳务费、委托业务费、福利费、其他商品和服务支出、办公设备购置、专用设备购置、基础设施建设、大型修缮、信息网络及软件购置更新、其他资本性支出和其他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我单位202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年没有使用政府性基金预算拨款安排的支出。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我单位202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年没有使用国有资本经营预算拨款安排的支出。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年“三公”经费支出预算为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 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年预算数增加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0" w:firstLineChars="200"/>
        <w:rPr>
          <w:rFonts w:hint="eastAsia" w:ascii="Times New Roman" w:hAnsi="Times New Roman" w:eastAsia="楷体_GB2312"/>
          <w:color w:val="000000"/>
          <w:spacing w:val="-1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Times New Roman" w:hAnsi="Times New Roman" w:eastAsia="楷体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万元。预算数比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年减少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上年度本单位均没有发生因公出国和事项业务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0" w:firstLineChars="200"/>
        <w:rPr>
          <w:rFonts w:hint="eastAsia" w:ascii="Times New Roman" w:hAnsi="Times New Roman" w:eastAsia="楷体_GB2312"/>
          <w:color w:val="000000"/>
          <w:spacing w:val="-1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元。其中公务车辆购置费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年减少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本单位无公务用车，不产生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公务车辆购置费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公务用车运行维护费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,比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年减少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本单位无公务用车，不产生公务用车维护费用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0" w:firstLineChars="200"/>
        <w:outlineLvl w:val="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年预算数减少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%，主要原因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执行中央八项规定，履行节约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（一）机构运行经费支出情况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武陟县大封镇老催庄小学单位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年机构运行经费支出预算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3.25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万元，主要保障机构正常运转及正常履职需要的办公费、水电费、物业费、维修费、差旅费等支出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比上年减少0.16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万元，减少4.69%，主要原因：本年拨付一般公用经费预算减少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</w:rPr>
        <w:t>年政府采购预算安排</w:t>
      </w:r>
      <w:r>
        <w:rPr>
          <w:rFonts w:hint="eastAsia" w:ascii="Times New Roman" w:hAnsi="Times New Roman" w:eastAsia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outlineLvl w:val="0"/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武陟县大封镇老催庄小学单位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>按要求编制了绩效目标，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包括整体绩效目标和项目支出绩效目标，</w:t>
      </w:r>
      <w:r>
        <w:rPr>
          <w:rFonts w:ascii="Times New Roman" w:hAnsi="Times New Roman" w:eastAsia="仿宋_GB2312"/>
          <w:color w:val="000000"/>
          <w:sz w:val="32"/>
          <w:szCs w:val="32"/>
        </w:rPr>
        <w:t>综合反映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了单位及各</w:t>
      </w:r>
      <w:r>
        <w:rPr>
          <w:rFonts w:ascii="Times New Roman" w:hAnsi="Times New Roman" w:eastAsia="仿宋_GB2312"/>
          <w:color w:val="000000"/>
          <w:sz w:val="32"/>
          <w:szCs w:val="32"/>
        </w:rPr>
        <w:t>项目预期完成的数量、实效、质量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，产生的</w:t>
      </w:r>
      <w:r>
        <w:rPr>
          <w:rFonts w:ascii="Times New Roman" w:hAnsi="Times New Roman" w:eastAsia="仿宋_GB2312"/>
          <w:color w:val="000000"/>
          <w:sz w:val="32"/>
          <w:szCs w:val="32"/>
        </w:rPr>
        <w:t>社会经济效益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和</w:t>
      </w:r>
      <w:r>
        <w:rPr>
          <w:rFonts w:ascii="Times New Roman" w:hAnsi="Times New Roman" w:eastAsia="仿宋_GB2312"/>
          <w:color w:val="000000"/>
          <w:sz w:val="32"/>
          <w:szCs w:val="32"/>
        </w:rPr>
        <w:t>服务对象满意度等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情况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单位纳入预算绩效管理的支出总额为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8.04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万元。其中：人员经费支出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8.04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万元；公用经费支出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万元；项目支出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万元，涉及项目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楷体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年期末，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我单位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固定资产总额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15.29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万元，办公设备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7.74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万元，专用设备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0.76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万元，其他资产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6.80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万元。车辆共有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辆，其中：一般公务用车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辆，执法执勤车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辆，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单价50万元以上通用设备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负责管理的专项转移支付项目共有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项，我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将按照《预算法》等有关规定，积极做好项目分配前期准备工作，在规定的时间内向财政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提出资金分配意见，根据有关要求做好项目申报公开等相关工作。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（六）关于预算</w:t>
      </w: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楷体_GB2312"/>
          <w:color w:val="000000"/>
          <w:kern w:val="0"/>
          <w:sz w:val="32"/>
          <w:szCs w:val="32"/>
        </w:rPr>
        <w:t>构成说明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年我单位按照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财政预算公开要求，将所属预算单位全部纳入预算公开范围。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both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center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第三部分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一、财政拨款收入：是指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三、其他收入：是指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取得的除“财政拨款”、“事业收入”、“事业单位经营收入”等以外的收入。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六、“三公”经费：是指纳入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级财政预算管理，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七、事业单位机构运行经费：是指为保障事业单位机构正常运转及正常履职需要的办公费、水电费、日常维修、物业费、维修费、差旅费、公务用车运行维护费以及其他费用等支出。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教育支出：教育支出是指财政教育经常性费用支出。可分为人员经费支出和公用经费支出。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 w:firstLine="624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武陟县大封镇老催庄小学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预算表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 w:val="0"/>
        <w:spacing w:beforeAutospacing="0" w:afterAutospacing="0" w:line="574" w:lineRule="exact"/>
        <w:ind w:left="0" w:leftChars="0" w:right="0"/>
        <w:rPr>
          <w:rFonts w:hint="eastAsia" w:ascii="Times New Roman" w:hAnsi="Times New Roman" w:eastAsia="仿宋_GB2312"/>
          <w:color w:val="000000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871" w:right="1531" w:bottom="1814" w:left="1531" w:header="851" w:footer="1531" w:gutter="0"/>
          <w:cols w:space="720" w:num="1"/>
          <w:rtlGutter w:val="0"/>
          <w:docGrid w:type="linesAndChars" w:linePitch="312" w:charSpace="-1839"/>
        </w:sectPr>
      </w:pP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 w:eastAsia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预算01表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2023年单位收支预算表</w:t>
      </w: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武陟县大封镇老催庄小学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</w:t>
      </w:r>
    </w:p>
    <w:tbl>
      <w:tblPr>
        <w:tblStyle w:val="2"/>
        <w:tblW w:w="906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1599"/>
        <w:gridCol w:w="2931"/>
        <w:gridCol w:w="159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收入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项目  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金额  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项目  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三、国有资本经营预算拨款收入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四、财政专户管理资金收入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六、事业单位经营收入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七、上级补助收入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八、附属单位上缴收入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十、卫生健康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十一、节能环保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十二、城乡社区事务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十三、农林水事务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十四、交通运输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十五、资源勘探信息等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十六、商业服务业等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十七、金融支出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十九、援助其他地区支出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二十、自然资源海洋气象等支出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二十一、住房保障支出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二十二、粮油物资储备支出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二十三、国有资本经营预算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二十四、灾害防治及应急管理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二十七、预备费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二十九、其他支出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三十、转移性支出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三十一、债务还本支出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三十二、债务付息支出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三十三、债务发行费用支出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三十四、抗疫特别国债安排的支出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收 入 合 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年 支 出 合 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</w:tr>
    </w:tbl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sectPr>
          <w:pgSz w:w="11906" w:h="16838"/>
          <w:pgMar w:top="2098" w:right="1531" w:bottom="1984" w:left="1531" w:header="851" w:footer="1531" w:gutter="0"/>
          <w:cols w:space="720" w:num="1"/>
          <w:docGrid w:type="linesAndChars" w:linePitch="312" w:charSpace="-1839"/>
        </w:sectPr>
      </w:pP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 w:eastAsia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预算02表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2023年单位收入预算表</w:t>
      </w:r>
    </w:p>
    <w:p>
      <w:pPr>
        <w:snapToGrid w:val="0"/>
        <w:spacing w:beforeAutospacing="0" w:afterAutospacing="0" w:line="580" w:lineRule="exact"/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武陟县大封镇老催庄小学  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单位：万元</w:t>
      </w:r>
    </w:p>
    <w:tbl>
      <w:tblPr>
        <w:tblStyle w:val="2"/>
        <w:tblW w:w="13434" w:type="dxa"/>
        <w:jc w:val="center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7"/>
        <w:gridCol w:w="694"/>
        <w:gridCol w:w="656"/>
        <w:gridCol w:w="741"/>
        <w:gridCol w:w="534"/>
        <w:gridCol w:w="506"/>
        <w:gridCol w:w="582"/>
        <w:gridCol w:w="693"/>
        <w:gridCol w:w="694"/>
        <w:gridCol w:w="750"/>
        <w:gridCol w:w="281"/>
        <w:gridCol w:w="469"/>
        <w:gridCol w:w="375"/>
        <w:gridCol w:w="321"/>
        <w:gridCol w:w="585"/>
        <w:gridCol w:w="420"/>
        <w:gridCol w:w="615"/>
        <w:gridCol w:w="470"/>
        <w:gridCol w:w="503"/>
        <w:gridCol w:w="468"/>
        <w:gridCol w:w="516"/>
        <w:gridCol w:w="653"/>
        <w:gridCol w:w="632"/>
        <w:gridCol w:w="5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</w:tblPrEx>
        <w:trPr>
          <w:trHeight w:val="819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6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上年结转结余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其他收入  </w:t>
            </w:r>
          </w:p>
        </w:tc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309087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武陟县大封镇老催庄小学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预算03表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2023年单位支出预算表</w:t>
      </w:r>
    </w:p>
    <w:tbl>
      <w:tblPr>
        <w:tblStyle w:val="2"/>
        <w:tblW w:w="14137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27"/>
        <w:gridCol w:w="427"/>
        <w:gridCol w:w="427"/>
        <w:gridCol w:w="735"/>
        <w:gridCol w:w="2193"/>
        <w:gridCol w:w="1284"/>
        <w:gridCol w:w="1284"/>
        <w:gridCol w:w="1104"/>
        <w:gridCol w:w="1078"/>
        <w:gridCol w:w="1020"/>
        <w:gridCol w:w="907"/>
        <w:gridCol w:w="1071"/>
        <w:gridCol w:w="911"/>
        <w:gridCol w:w="909"/>
        <w:gridCol w:w="360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41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名称：</w:t>
            </w:r>
            <w:r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武陟县大封镇老催庄小学                                                                                                </w:t>
            </w:r>
            <w:r>
              <w:rPr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01" w:hRule="atLeast"/>
          <w:jc w:val="center"/>
        </w:trPr>
        <w:tc>
          <w:tcPr>
            <w:tcW w:w="12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01" w:hRule="atLeast"/>
          <w:jc w:val="center"/>
        </w:trPr>
        <w:tc>
          <w:tcPr>
            <w:tcW w:w="12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97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0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0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309087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0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0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906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01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After w:w="360" w:type="dxa"/>
          <w:trHeight w:val="539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预算04表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2023年财政拨款收支预算表</w:t>
      </w: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武陟县大封镇老催庄小学  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pPr w:leftFromText="180" w:rightFromText="180" w:vertAnchor="text" w:horzAnchor="page" w:tblpXSpec="center" w:tblpY="543"/>
        <w:tblOverlap w:val="never"/>
        <w:tblW w:w="14279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2554"/>
        <w:gridCol w:w="1278"/>
        <w:gridCol w:w="2482"/>
        <w:gridCol w:w="1161"/>
        <w:gridCol w:w="1161"/>
        <w:gridCol w:w="1154"/>
        <w:gridCol w:w="1316"/>
        <w:gridCol w:w="774"/>
        <w:gridCol w:w="713"/>
        <w:gridCol w:w="922"/>
        <w:gridCol w:w="764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104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目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　额</w:t>
            </w:r>
          </w:p>
        </w:tc>
        <w:tc>
          <w:tcPr>
            <w:tcW w:w="2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目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其中：上级专项转移支付安排支出</w:t>
            </w: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（四）财政专户管理资金收入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（五）单位资金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（七）文化体育旅游与传媒支出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（九）医疗卫生与计划生育支出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（十二）城乡社区事务支出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（十三）农林水事务支出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（十九）援助其他地区支出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（二十）自然资源海洋气象等支出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（二十一）住房保障支出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（二十二）粮油物资储备支出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（二十三）国有资本经营预算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（二十四）灾害防治及应急管理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（二十七）预备费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（二十九）其他支出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（三十）转移性支出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（三十一）债务还本支出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（三十二）债务付息支出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（三十三）债务发行费用支出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（三十四）抗疫特别国债安排的支出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二、年终结转结余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预算05表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2023年一般公共预算支出预算表</w:t>
      </w:r>
    </w:p>
    <w:p>
      <w:pPr>
        <w:snapToGrid w:val="0"/>
        <w:spacing w:beforeAutospacing="0" w:afterAutospacing="0" w:line="580" w:lineRule="exact"/>
        <w:jc w:val="both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武陟县大封镇老催庄小学  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W w:w="14457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49"/>
        <w:gridCol w:w="449"/>
        <w:gridCol w:w="449"/>
        <w:gridCol w:w="787"/>
        <w:gridCol w:w="2249"/>
        <w:gridCol w:w="1518"/>
        <w:gridCol w:w="1519"/>
        <w:gridCol w:w="1071"/>
        <w:gridCol w:w="1071"/>
        <w:gridCol w:w="1071"/>
        <w:gridCol w:w="957"/>
        <w:gridCol w:w="955"/>
        <w:gridCol w:w="956"/>
        <w:gridCol w:w="956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3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6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3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特定目标类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309087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70.62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70.25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67.00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                                         </w:t>
      </w:r>
    </w:p>
    <w:p>
      <w:pPr>
        <w:snapToGrid w:val="0"/>
        <w:spacing w:beforeAutospacing="0" w:afterAutospacing="0" w:line="580" w:lineRule="exact"/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预算06表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2023年一般公共预算基本支出预算表</w:t>
      </w: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武陟县大封镇老催庄小学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</w:p>
    <w:tbl>
      <w:tblPr>
        <w:tblStyle w:val="2"/>
        <w:tblW w:w="13758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719"/>
        <w:gridCol w:w="2580"/>
        <w:gridCol w:w="1719"/>
        <w:gridCol w:w="2580"/>
        <w:gridCol w:w="1720"/>
        <w:gridCol w:w="1720"/>
        <w:gridCol w:w="1720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4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预算支出经济分类科目</w:t>
            </w:r>
          </w:p>
        </w:tc>
        <w:tc>
          <w:tcPr>
            <w:tcW w:w="4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政府预算支出经济分类科目</w:t>
            </w:r>
          </w:p>
        </w:tc>
        <w:tc>
          <w:tcPr>
            <w:tcW w:w="5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本年一般公共预算基本支出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85.07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离退休费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预算07表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2023年一般公共预算基本支出明细表</w:t>
      </w: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武陟县大封镇老催庄小学 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元</w:t>
      </w:r>
    </w:p>
    <w:tbl>
      <w:tblPr>
        <w:tblStyle w:val="2"/>
        <w:tblpPr w:leftFromText="180" w:rightFromText="180" w:vertAnchor="text" w:horzAnchor="page" w:tblpX="1578" w:tblpY="236"/>
        <w:tblOverlap w:val="never"/>
        <w:tblW w:w="14177" w:type="dxa"/>
        <w:tblInd w:w="-15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072"/>
        <w:gridCol w:w="892"/>
        <w:gridCol w:w="2978"/>
        <w:gridCol w:w="1131"/>
        <w:gridCol w:w="1192"/>
        <w:gridCol w:w="1013"/>
        <w:gridCol w:w="895"/>
        <w:gridCol w:w="1192"/>
        <w:gridCol w:w="1013"/>
        <w:gridCol w:w="894"/>
        <w:gridCol w:w="893"/>
        <w:gridCol w:w="1012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2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本年拨款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财政拨款结转结余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309087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86.96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人员类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事业人员及事业技术工人年基本工资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70%基础性绩效工资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30%奖励性绩效工资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年终一次性奖金（事业）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失业保险金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工伤保险费（事业）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在职人员采暖补贴（事业）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年度目标考核奖（事业）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其他特岗津贴补贴（事业）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退休人员年健康休养费（事业）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乡镇工作补贴（事业）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国家保留津贴(事业)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退休人员采暖补贴（事业）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养老保险金（事业）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医疗保险金（事业）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大额医保（事业）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福利费（事业）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</w:t>
      </w: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                 </w:t>
      </w:r>
    </w:p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预算08表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2023年支出经济分类汇总表</w:t>
      </w:r>
    </w:p>
    <w:p>
      <w:pPr>
        <w:snapToGrid w:val="0"/>
        <w:spacing w:beforeAutospacing="0" w:afterAutospacing="0" w:line="580" w:lineRule="exact"/>
        <w:jc w:val="lef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武陟县大封镇老催庄小学  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                                    </w:t>
      </w:r>
    </w:p>
    <w:tbl>
      <w:tblPr>
        <w:tblStyle w:val="2"/>
        <w:tblW w:w="14793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62"/>
        <w:gridCol w:w="462"/>
        <w:gridCol w:w="2543"/>
        <w:gridCol w:w="320"/>
        <w:gridCol w:w="320"/>
        <w:gridCol w:w="1766"/>
        <w:gridCol w:w="780"/>
        <w:gridCol w:w="999"/>
        <w:gridCol w:w="999"/>
        <w:gridCol w:w="734"/>
        <w:gridCol w:w="708"/>
        <w:gridCol w:w="836"/>
        <w:gridCol w:w="904"/>
        <w:gridCol w:w="651"/>
        <w:gridCol w:w="495"/>
        <w:gridCol w:w="538"/>
        <w:gridCol w:w="638"/>
        <w:gridCol w:w="638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3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预算经济分类</w:t>
            </w: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政府预算经济分类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财政专户管理资金收入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款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309087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30.23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5.77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0.46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5.02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0.84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预算09表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2023年一般公共预算“三公”经费预算表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武陟县大封镇老催庄小学  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W w:w="13838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296"/>
        <w:gridCol w:w="2301"/>
        <w:gridCol w:w="2301"/>
        <w:gridCol w:w="2323"/>
        <w:gridCol w:w="232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“三公”经费合计</w:t>
            </w: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6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2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2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40" w:lineRule="exact"/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注：按照党中央、国务院有关规定及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预算管理有关规定，“三公”经费包括因公出国（境）费、公务用车购置及运行费和公务接待费。（1）因公出国（境）费，指单位工作人员公务出国（境）的住宿费、差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一般公务用车和执法执勤用车。（3）公务接待费，指单位按规定开支的各类公务接待（含外宾接待）支出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预算10表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70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2023年政府性基金支出预算表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40" w:lineRule="exac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武陟县大封镇老催庄小学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W w:w="13616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631"/>
        <w:gridCol w:w="677"/>
        <w:gridCol w:w="909"/>
        <w:gridCol w:w="1254"/>
        <w:gridCol w:w="788"/>
        <w:gridCol w:w="877"/>
        <w:gridCol w:w="1356"/>
        <w:gridCol w:w="1265"/>
        <w:gridCol w:w="1077"/>
        <w:gridCol w:w="1173"/>
        <w:gridCol w:w="917"/>
        <w:gridCol w:w="1045"/>
        <w:gridCol w:w="115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单位（科目名称）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运转类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9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家庭的补助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服务支出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预算11表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2023年国有资本经营支出预算表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40" w:lineRule="exac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武陟县大封镇老催庄小学 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W w:w="13716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457"/>
        <w:gridCol w:w="575"/>
        <w:gridCol w:w="991"/>
        <w:gridCol w:w="1605"/>
        <w:gridCol w:w="1232"/>
        <w:gridCol w:w="1438"/>
        <w:gridCol w:w="1073"/>
        <w:gridCol w:w="1218"/>
        <w:gridCol w:w="1062"/>
        <w:gridCol w:w="859"/>
        <w:gridCol w:w="840"/>
        <w:gridCol w:w="944"/>
        <w:gridCol w:w="100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（科目名称）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5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基本支出  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运转类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家庭的补助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服务支出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预算12表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40" w:lineRule="exac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武陟县大封镇老催庄小学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W w:w="14196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993"/>
        <w:gridCol w:w="2629"/>
        <w:gridCol w:w="1460"/>
        <w:gridCol w:w="1169"/>
        <w:gridCol w:w="1168"/>
        <w:gridCol w:w="993"/>
        <w:gridCol w:w="877"/>
        <w:gridCol w:w="1168"/>
        <w:gridCol w:w="993"/>
        <w:gridCol w:w="877"/>
        <w:gridCol w:w="876"/>
        <w:gridCol w:w="993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2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本年拨款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财政拨款结转结余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309087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2022年公用经费结转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其他运转类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学校生均公用经费焦财预[2021]171号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40" w:lineRule="exact"/>
        <w:rPr>
          <w:rFonts w:hint="eastAsia"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预算13表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2023年事业单位机构运行经费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440" w:lineRule="exact"/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名称：</w:t>
      </w:r>
      <w:r>
        <w:rPr>
          <w:rFonts w:hint="eastAsia" w:ascii="Times New Roman" w:hAnsi="Times New Roman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武陟县大封镇老催庄小学                                                                                          </w:t>
      </w:r>
      <w:r>
        <w:rPr>
          <w:rFonts w:ascii="Times New Roman" w:hAnsi="Times New Roman" w:eastAsia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W w:w="13557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4830"/>
        <w:gridCol w:w="485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0" w:colLast="2"/>
            <w:r>
              <w:rPr>
                <w:rFonts w:hint="eastAsia" w:ascii="Times New Roman" w:hAnsi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预算支出经济分类科目</w:t>
            </w: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机构运行经费支出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bookmarkEnd w:id="0"/>
    </w:tbl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sectPr>
          <w:pgSz w:w="16838" w:h="11906" w:orient="landscape"/>
          <w:pgMar w:top="1531" w:right="1417" w:bottom="1531" w:left="1871" w:header="851" w:footer="1531" w:gutter="0"/>
          <w:cols w:space="720" w:num="1"/>
          <w:docGrid w:type="linesAndChars" w:linePitch="312" w:charSpace="-1839"/>
        </w:sectPr>
      </w:pPr>
    </w:p>
    <w:p>
      <w:pPr>
        <w:snapToGrid w:val="0"/>
        <w:spacing w:beforeAutospacing="0" w:afterAutospacing="0" w:line="580" w:lineRule="exact"/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预算14表</w:t>
      </w:r>
    </w:p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</w:pP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2023年单位预算项目绩效目标表</w:t>
      </w:r>
    </w:p>
    <w:p>
      <w:pPr>
        <w:snapToGrid w:val="0"/>
        <w:spacing w:beforeAutospacing="0" w:afterAutospacing="0" w:line="580" w:lineRule="exact"/>
        <w:jc w:val="center"/>
        <w:rPr>
          <w:rFonts w:hint="eastAsia" w:ascii="Times New Roman" w:hAnsi="Times New Roman" w:eastAsia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14678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826"/>
        <w:gridCol w:w="1647"/>
        <w:gridCol w:w="925"/>
        <w:gridCol w:w="816"/>
        <w:gridCol w:w="1089"/>
        <w:gridCol w:w="765"/>
        <w:gridCol w:w="1086"/>
        <w:gridCol w:w="816"/>
        <w:gridCol w:w="1086"/>
        <w:gridCol w:w="816"/>
        <w:gridCol w:w="1087"/>
        <w:gridCol w:w="816"/>
        <w:gridCol w:w="1087"/>
        <w:gridCol w:w="816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35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项目金额（万元）</w:t>
            </w:r>
          </w:p>
        </w:tc>
        <w:tc>
          <w:tcPr>
            <w:tcW w:w="7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8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（项目编码）</w:t>
            </w:r>
          </w:p>
        </w:tc>
        <w:tc>
          <w:tcPr>
            <w:tcW w:w="1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（项目名称）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政府预算资金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309087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武陟县大封镇老催庄小学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410823230000000041170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2022年公用经费结转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发放资金总额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3.15万元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2022年公用经费结转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保障学校工作开展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社会影响很好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教师满意度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资金使用足额率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足额发放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资金使用及时性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及时发放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410823230000000056800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学校生均公用经费焦财预[2021]171号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公用经费总额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0.1万元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由于改善办学条件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有效改善办学条件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社会影响很好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学校满意度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资金使用足额率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足额支付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资金支付及时性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及时支付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napToGrid w:val="0"/>
        <w:spacing w:beforeAutospacing="0" w:afterAutospacing="0" w:line="580" w:lineRule="exact"/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sectPr>
          <w:pgSz w:w="16838" w:h="11906" w:orient="landscape"/>
          <w:pgMar w:top="1531" w:right="2098" w:bottom="1531" w:left="1871" w:header="851" w:footer="1531" w:gutter="0"/>
          <w:cols w:space="720" w:num="1"/>
          <w:docGrid w:type="linesAndChars" w:linePitch="312" w:charSpace="-183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outlineLvl w:val="9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80" w:lineRule="exact"/>
        <w:jc w:val="both"/>
        <w:outlineLvl w:val="9"/>
        <w:rPr>
          <w:rFonts w:ascii="Times New Roman" w:hAnsi="Times New Roman"/>
          <w:sz w:val="28"/>
          <w:szCs w:val="28"/>
        </w:rPr>
      </w:pPr>
    </w:p>
    <w:sectPr>
      <w:pgSz w:w="11906" w:h="16838"/>
      <w:pgMar w:top="2098" w:right="1531" w:bottom="1757" w:left="1531" w:header="851" w:footer="119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7</w:t>
    </w:r>
    <w:r>
      <w:fldChar w:fldCharType="end"/>
    </w:r>
  </w:p>
  <w:p>
    <w:pPr>
      <w:pStyle w:val="8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GIxZmQyYzNmZmJhNjc3ZjFiZmIwNGQxMDkyMzQ1NjQifQ=="/>
  </w:docVars>
  <w:rsids>
    <w:rsidRoot w:val="00000000"/>
    <w:rsid w:val="144729F8"/>
    <w:rsid w:val="294871DA"/>
    <w:rsid w:val="41CA2CAF"/>
    <w:rsid w:val="52850E47"/>
    <w:rsid w:val="773F7184"/>
    <w:rsid w:val="78606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日期1"/>
    <w:basedOn w:val="1"/>
    <w:qFormat/>
    <w:uiPriority w:val="0"/>
    <w:pPr>
      <w:ind w:left="100" w:leftChars="2500"/>
    </w:pPr>
  </w:style>
  <w:style w:type="paragraph" w:customStyle="1" w:styleId="7">
    <w:name w:val="批注框文本1"/>
    <w:basedOn w:val="1"/>
    <w:uiPriority w:val="0"/>
    <w:rPr>
      <w:sz w:val="18"/>
      <w:szCs w:val="18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character" w:customStyle="1" w:styleId="10">
    <w:name w:val="页码1"/>
    <w:basedOn w:val="4"/>
    <w:link w:val="1"/>
    <w:qFormat/>
    <w:uiPriority w:val="0"/>
  </w:style>
  <w:style w:type="character" w:customStyle="1" w:styleId="11">
    <w:name w:val="font81"/>
    <w:basedOn w:val="4"/>
    <w:link w:val="1"/>
    <w:qFormat/>
    <w:uiPriority w:val="0"/>
    <w:rPr>
      <w:rFonts w:hint="eastAsia" w:ascii="宋体" w:hAnsi="宋体" w:eastAsia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6622</Words>
  <Characters>8175</Characters>
  <Lines>0</Lines>
  <Paragraphs>0</Paragraphs>
  <TotalTime>2</TotalTime>
  <ScaleCrop>false</ScaleCrop>
  <LinksUpToDate>false</LinksUpToDate>
  <CharactersWithSpaces>9878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2023-05-11T07:12:00Z</dcterms:created>
  <dc:creator>早晨的太阳</dc:creator>
  <cp:lastModifiedBy>文</cp:lastModifiedBy>
  <dcterms:modified xsi:type="dcterms:W3CDTF">2023-05-18T07:53:06Z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673FF3C526D34F64837E2AC56FA9F152_12</vt:lpwstr>
  </property>
</Properties>
</file>